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DC06">
      <w:pPr>
        <w:keepNext/>
        <w:keepLines/>
        <w:spacing w:before="120" w:after="260" w:line="240" w:lineRule="auto"/>
        <w:ind w:firstLine="0" w:firstLineChars="0"/>
        <w:jc w:val="center"/>
        <w:outlineLvl w:val="2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522270373"/>
      <w:bookmarkStart w:id="1" w:name="_Toc18582375"/>
      <w:bookmarkStart w:id="2" w:name="_Toc509843359"/>
      <w:bookmarkStart w:id="3" w:name="_Toc217577575"/>
      <w:bookmarkStart w:id="4" w:name="_Toc7699"/>
      <w:bookmarkStart w:id="5" w:name="_Toc77160283"/>
      <w:bookmarkStart w:id="6" w:name="_Toc440436593"/>
      <w:bookmarkStart w:id="7" w:name="_Toc477524877"/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第一节  基准</w:t>
      </w:r>
      <w:bookmarkStart w:id="35" w:name="_GoBack"/>
      <w:bookmarkEnd w:id="35"/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地价内涵的设定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DAA9314">
      <w:pPr>
        <w:adjustRightInd w:val="0"/>
        <w:ind w:firstLine="562"/>
        <w:rPr>
          <w:rFonts w:hint="default" w:ascii="Times New Roman" w:hAnsi="Times New Roman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一、基准地价内涵的设定</w:t>
      </w:r>
    </w:p>
    <w:p w14:paraId="2EBE7EEC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1.估价期日</w:t>
      </w:r>
    </w:p>
    <w:p w14:paraId="3A48156B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按安徽省自然资源厅统一部署要求和工作实际开展的时间，本次评估估价期日为</w:t>
      </w:r>
      <w:r>
        <w:rPr>
          <w:rFonts w:hint="default" w:ascii="Times New Roman" w:hAnsi="Times New Roman" w:cs="Times New Roman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2025年7月1日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B74076E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2.土地使用年期</w:t>
      </w:r>
    </w:p>
    <w:p w14:paraId="73200578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根据《农村集体土地定级与估价技术指南》（T/CREVA 1201-2021），集体建设用地年期设定参照国有建设用地的法定最高年期。故，本次年期设定为商业服务业用地40年、工业用地50年、公共管理与公共服务和公用设施用地50年。</w:t>
      </w:r>
    </w:p>
    <w:p w14:paraId="4799D651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3.土地开发水平</w:t>
      </w:r>
    </w:p>
    <w:p w14:paraId="0A643C3D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根据各土地级别或均质区域内同一用途现状平均土地开发程度或2/3以上面积已经达到的宗地红线外基础设施平均水平，宗地红线内“场地平整”。商业服务业用地、工业用地、公共管理与公共服务和公用设施用地各级别土地开发程度设定从“五通一平”到“四通一平”不等。红线外“五通”指通上水、通下水、通讯、通电、通路。本次一级地土地开发程度设定为“五通一平”，二级地土地开发程度设定为“四通一平”，三级地土地开发程度设定为“四通一平”，四级地土地开发程度设定为“四通一平”。</w:t>
      </w:r>
    </w:p>
    <w:p w14:paraId="2F975642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4.平均容积率</w:t>
      </w:r>
    </w:p>
    <w:p w14:paraId="36645EA0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由于农村集体建设用地分布范围广，本次根据六安市城区及各乡镇相关规划。</w:t>
      </w:r>
    </w:p>
    <w:p w14:paraId="5ADA2D05">
      <w:pPr>
        <w:pStyle w:val="7"/>
        <w:spacing w:before="156" w:line="480" w:lineRule="exact"/>
        <w:ind w:firstLine="0" w:firstLineChars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表2-2-1  各用途、各级别开发程度和平均容积率一览表</w:t>
      </w:r>
    </w:p>
    <w:tbl>
      <w:tblPr>
        <w:tblStyle w:val="5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7"/>
        <w:gridCol w:w="1447"/>
        <w:gridCol w:w="1277"/>
        <w:gridCol w:w="1359"/>
      </w:tblGrid>
      <w:tr w14:paraId="5557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74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13FE2A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8" w:name="_Toc522270374"/>
            <w:bookmarkStart w:id="9" w:name="_Toc448156598"/>
            <w:bookmarkStart w:id="10" w:name="_Toc18582376"/>
            <w:bookmarkStart w:id="11" w:name="_Toc509843360"/>
            <w:bookmarkStart w:id="12" w:name="_Toc477524878"/>
            <w:bookmarkStart w:id="13" w:name="_Toc77160284"/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土地级别</w:t>
            </w:r>
          </w:p>
        </w:tc>
        <w:tc>
          <w:tcPr>
            <w:tcW w:w="1276" w:type="pct"/>
            <w:vMerge w:val="restart"/>
            <w:tcMar>
              <w:left w:w="0" w:type="dxa"/>
              <w:right w:w="0" w:type="dxa"/>
            </w:tcMar>
            <w:vAlign w:val="center"/>
          </w:tcPr>
          <w:p w14:paraId="0466A27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开发水平</w:t>
            </w:r>
          </w:p>
        </w:tc>
        <w:tc>
          <w:tcPr>
            <w:tcW w:w="2449" w:type="pct"/>
            <w:gridSpan w:val="3"/>
            <w:tcMar>
              <w:left w:w="0" w:type="dxa"/>
              <w:right w:w="0" w:type="dxa"/>
            </w:tcMar>
            <w:vAlign w:val="center"/>
          </w:tcPr>
          <w:p w14:paraId="474FA61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平均容积率</w:t>
            </w:r>
          </w:p>
        </w:tc>
      </w:tr>
      <w:tr w14:paraId="29FE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74" w:type="pct"/>
            <w:vMerge w:val="continue"/>
            <w:tcMar>
              <w:left w:w="0" w:type="dxa"/>
              <w:right w:w="0" w:type="dxa"/>
            </w:tcMar>
            <w:vAlign w:val="center"/>
          </w:tcPr>
          <w:p w14:paraId="6EF36EC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pct"/>
            <w:vMerge w:val="continue"/>
            <w:tcMar>
              <w:left w:w="0" w:type="dxa"/>
              <w:right w:w="0" w:type="dxa"/>
            </w:tcMar>
            <w:vAlign w:val="center"/>
          </w:tcPr>
          <w:p w14:paraId="5E50278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pct"/>
            <w:tcMar>
              <w:left w:w="0" w:type="dxa"/>
              <w:right w:w="0" w:type="dxa"/>
            </w:tcMar>
            <w:vAlign w:val="center"/>
          </w:tcPr>
          <w:p w14:paraId="15AC860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商业服务业用地</w:t>
            </w:r>
          </w:p>
        </w:tc>
        <w:tc>
          <w:tcPr>
            <w:tcW w:w="766" w:type="pct"/>
            <w:tcMar>
              <w:left w:w="0" w:type="dxa"/>
              <w:right w:w="0" w:type="dxa"/>
            </w:tcMar>
            <w:vAlign w:val="center"/>
          </w:tcPr>
          <w:p w14:paraId="3FBC650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工业用地</w:t>
            </w:r>
          </w:p>
        </w:tc>
        <w:tc>
          <w:tcPr>
            <w:tcW w:w="815" w:type="pct"/>
            <w:tcMar>
              <w:left w:w="0" w:type="dxa"/>
              <w:right w:w="0" w:type="dxa"/>
            </w:tcMar>
            <w:vAlign w:val="center"/>
          </w:tcPr>
          <w:p w14:paraId="56D5200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公共管理与公共服务和公用设施用地</w:t>
            </w:r>
          </w:p>
        </w:tc>
      </w:tr>
      <w:tr w14:paraId="1F5A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74" w:type="pct"/>
            <w:tcMar>
              <w:left w:w="0" w:type="dxa"/>
              <w:right w:w="0" w:type="dxa"/>
            </w:tcMar>
            <w:vAlign w:val="center"/>
          </w:tcPr>
          <w:p w14:paraId="27D60B3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一级地</w:t>
            </w:r>
          </w:p>
        </w:tc>
        <w:tc>
          <w:tcPr>
            <w:tcW w:w="1276" w:type="pct"/>
            <w:tcMar>
              <w:left w:w="0" w:type="dxa"/>
              <w:right w:w="0" w:type="dxa"/>
            </w:tcMar>
            <w:vAlign w:val="center"/>
          </w:tcPr>
          <w:p w14:paraId="32BBE0C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五通一平</w:t>
            </w:r>
          </w:p>
        </w:tc>
        <w:tc>
          <w:tcPr>
            <w:tcW w:w="868" w:type="pct"/>
            <w:tcMar>
              <w:left w:w="0" w:type="dxa"/>
              <w:right w:w="0" w:type="dxa"/>
            </w:tcMar>
            <w:vAlign w:val="center"/>
          </w:tcPr>
          <w:p w14:paraId="7BD7689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66" w:type="pct"/>
            <w:tcMar>
              <w:left w:w="0" w:type="dxa"/>
              <w:right w:w="0" w:type="dxa"/>
            </w:tcMar>
            <w:vAlign w:val="center"/>
          </w:tcPr>
          <w:p w14:paraId="37D98C3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15" w:type="pct"/>
            <w:tcMar>
              <w:left w:w="0" w:type="dxa"/>
              <w:right w:w="0" w:type="dxa"/>
            </w:tcMar>
            <w:vAlign w:val="center"/>
          </w:tcPr>
          <w:p w14:paraId="031355A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4204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74" w:type="pct"/>
            <w:tcMar>
              <w:left w:w="0" w:type="dxa"/>
              <w:right w:w="0" w:type="dxa"/>
            </w:tcMar>
            <w:vAlign w:val="center"/>
          </w:tcPr>
          <w:p w14:paraId="6FE05BC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二级地</w:t>
            </w:r>
          </w:p>
        </w:tc>
        <w:tc>
          <w:tcPr>
            <w:tcW w:w="1276" w:type="pct"/>
            <w:tcMar>
              <w:left w:w="0" w:type="dxa"/>
              <w:right w:w="0" w:type="dxa"/>
            </w:tcMar>
            <w:vAlign w:val="center"/>
          </w:tcPr>
          <w:p w14:paraId="36DDA0B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四通一平</w:t>
            </w:r>
          </w:p>
        </w:tc>
        <w:tc>
          <w:tcPr>
            <w:tcW w:w="868" w:type="pct"/>
            <w:tcMar>
              <w:left w:w="0" w:type="dxa"/>
              <w:right w:w="0" w:type="dxa"/>
            </w:tcMar>
            <w:vAlign w:val="center"/>
          </w:tcPr>
          <w:p w14:paraId="13F1D602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66" w:type="pct"/>
            <w:tcMar>
              <w:left w:w="0" w:type="dxa"/>
              <w:right w:w="0" w:type="dxa"/>
            </w:tcMar>
            <w:vAlign w:val="center"/>
          </w:tcPr>
          <w:p w14:paraId="1ABE4AA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15" w:type="pct"/>
            <w:tcMar>
              <w:left w:w="0" w:type="dxa"/>
              <w:right w:w="0" w:type="dxa"/>
            </w:tcMar>
            <w:vAlign w:val="center"/>
          </w:tcPr>
          <w:p w14:paraId="5E90C33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43D7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74" w:type="pct"/>
            <w:tcMar>
              <w:left w:w="0" w:type="dxa"/>
              <w:right w:w="0" w:type="dxa"/>
            </w:tcMar>
            <w:vAlign w:val="center"/>
          </w:tcPr>
          <w:p w14:paraId="41ED0C4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三级地</w:t>
            </w:r>
          </w:p>
        </w:tc>
        <w:tc>
          <w:tcPr>
            <w:tcW w:w="1276" w:type="pct"/>
            <w:tcMar>
              <w:left w:w="0" w:type="dxa"/>
              <w:right w:w="0" w:type="dxa"/>
            </w:tcMar>
            <w:vAlign w:val="center"/>
          </w:tcPr>
          <w:p w14:paraId="6F3DCEE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四通一平</w:t>
            </w:r>
          </w:p>
        </w:tc>
        <w:tc>
          <w:tcPr>
            <w:tcW w:w="868" w:type="pct"/>
            <w:tcMar>
              <w:left w:w="0" w:type="dxa"/>
              <w:right w:w="0" w:type="dxa"/>
            </w:tcMar>
            <w:vAlign w:val="center"/>
          </w:tcPr>
          <w:p w14:paraId="724C250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66" w:type="pct"/>
            <w:tcMar>
              <w:left w:w="0" w:type="dxa"/>
              <w:right w:w="0" w:type="dxa"/>
            </w:tcMar>
            <w:vAlign w:val="center"/>
          </w:tcPr>
          <w:p w14:paraId="7004AC6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815" w:type="pct"/>
            <w:tcMar>
              <w:left w:w="0" w:type="dxa"/>
              <w:right w:w="0" w:type="dxa"/>
            </w:tcMar>
            <w:vAlign w:val="center"/>
          </w:tcPr>
          <w:p w14:paraId="1C7F8652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 w14:paraId="57A2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74" w:type="pct"/>
            <w:tcMar>
              <w:left w:w="0" w:type="dxa"/>
              <w:right w:w="0" w:type="dxa"/>
            </w:tcMar>
            <w:vAlign w:val="center"/>
          </w:tcPr>
          <w:p w14:paraId="16CA383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四级地</w:t>
            </w:r>
          </w:p>
        </w:tc>
        <w:tc>
          <w:tcPr>
            <w:tcW w:w="1276" w:type="pct"/>
            <w:tcMar>
              <w:left w:w="0" w:type="dxa"/>
              <w:right w:w="0" w:type="dxa"/>
            </w:tcMar>
            <w:vAlign w:val="center"/>
          </w:tcPr>
          <w:p w14:paraId="5AC862B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四通一平</w:t>
            </w:r>
          </w:p>
        </w:tc>
        <w:tc>
          <w:tcPr>
            <w:tcW w:w="868" w:type="pct"/>
            <w:tcMar>
              <w:left w:w="0" w:type="dxa"/>
              <w:right w:w="0" w:type="dxa"/>
            </w:tcMar>
            <w:vAlign w:val="center"/>
          </w:tcPr>
          <w:p w14:paraId="54D169D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349" w:type="dxa"/>
            <w:tcMar>
              <w:left w:w="0" w:type="dxa"/>
              <w:right w:w="0" w:type="dxa"/>
            </w:tcMar>
            <w:vAlign w:val="center"/>
          </w:tcPr>
          <w:p w14:paraId="6512213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436" w:type="dxa"/>
            <w:tcMar>
              <w:left w:w="0" w:type="dxa"/>
              <w:right w:w="0" w:type="dxa"/>
            </w:tcMar>
            <w:vAlign w:val="center"/>
          </w:tcPr>
          <w:p w14:paraId="0B4794A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</w:tbl>
    <w:p w14:paraId="666F28C0">
      <w:pPr>
        <w:keepNext/>
        <w:keepLines/>
        <w:spacing w:before="480" w:after="260" w:line="240" w:lineRule="auto"/>
        <w:ind w:firstLine="0" w:firstLineChars="0"/>
        <w:jc w:val="center"/>
        <w:outlineLvl w:val="2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25866"/>
      <w:bookmarkStart w:id="15" w:name="_Toc217577576"/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第二节  还原率的测算与确定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F93B840">
      <w:pPr>
        <w:ind w:firstLine="562"/>
        <w:jc w:val="left"/>
        <w:rPr>
          <w:rFonts w:hint="default" w:ascii="Times New Roman" w:hAnsi="Times New Roman" w:cs="Times New Roman"/>
          <w:b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kern w:val="2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b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  <w:t>、六安市辖区集体建设用地还原率的确定</w:t>
      </w:r>
    </w:p>
    <w:p w14:paraId="27E34F00">
      <w:pPr>
        <w:ind w:firstLine="560"/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  <w:t>（一）综合还原率：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工业用地、公共管理与公共服务和公用设施用地、商业服务业用地</w:t>
      </w:r>
      <w:r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  <w:t>综合还原率分别为8.5%、9.0%、9.5%。</w:t>
      </w:r>
    </w:p>
    <w:p w14:paraId="10DC92BA">
      <w:pPr>
        <w:ind w:firstLine="560"/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  <w:t>（二）土地还原率：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工业用地、公共管理与公共服务和公用设施用地、商业服务业用地</w:t>
      </w:r>
      <w:r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  <w:t>土地还原率分别为7.5%、8.0%、8.5%。</w:t>
      </w:r>
    </w:p>
    <w:p w14:paraId="220D6AF1">
      <w:pPr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  <w:t>（三）房屋还原率：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工业用地、公共管理与公共服务和公用设施用地、商业服务业用地房屋还原率分别为9.5%、10.0%、10.5%</w:t>
      </w:r>
      <w:r>
        <w:rPr>
          <w:rFonts w:hint="default" w:ascii="Times New Roman" w:hAnsi="Times New Roman" w:cs="Times New Roman"/>
          <w:color w:val="000000" w:themeColor="text1"/>
          <w:kern w:val="2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290EF45">
      <w:pPr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5DC50B4">
      <w:pPr>
        <w:keepNext/>
        <w:keepLines/>
        <w:spacing w:before="120" w:after="260" w:line="240" w:lineRule="auto"/>
        <w:ind w:firstLine="0" w:firstLineChars="0"/>
        <w:jc w:val="center"/>
        <w:outlineLvl w:val="2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6" w:name="_Toc509843361"/>
      <w:bookmarkStart w:id="17" w:name="_Toc77160285"/>
      <w:bookmarkStart w:id="18" w:name="_Toc217577577"/>
      <w:bookmarkStart w:id="19" w:name="_Toc12800"/>
      <w:bookmarkStart w:id="20" w:name="_Toc536097420"/>
      <w:bookmarkStart w:id="21" w:name="_Toc477524879"/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第三节  房屋重置价的确定</w:t>
      </w:r>
      <w:bookmarkEnd w:id="16"/>
      <w:bookmarkEnd w:id="17"/>
      <w:bookmarkEnd w:id="18"/>
      <w:bookmarkEnd w:id="19"/>
      <w:bookmarkEnd w:id="20"/>
      <w:bookmarkEnd w:id="21"/>
    </w:p>
    <w:p w14:paraId="0F114514">
      <w:pPr>
        <w:adjustRightInd w:val="0"/>
        <w:snapToGri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房屋重置价是依据目前人工、材料、建筑设计标准及正常管理水平下，建造一幢各项设备相同或相当的建筑物所需的成本价格。房屋重置价对于计算房屋的现值及纯收益具有重要的意义。本次土地估价的房屋重置价标准采用《六安市人民政府关于公布六安市被征收集体土地上房屋、其他附着物及青苗补偿标准的通知》（六政秘〔2020〕120号）文件中相关规定。详见下表。</w:t>
      </w:r>
    </w:p>
    <w:p w14:paraId="30A50D65">
      <w:pPr>
        <w:pStyle w:val="7"/>
        <w:spacing w:before="156" w:line="480" w:lineRule="exact"/>
        <w:ind w:firstLine="0" w:firstLineChars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表2-2-2    金安区被征收中心城区外集体土地上房屋补偿标准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65"/>
        <w:gridCol w:w="4492"/>
        <w:gridCol w:w="1361"/>
        <w:gridCol w:w="1173"/>
      </w:tblGrid>
      <w:tr w14:paraId="7E85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 w14:paraId="4B89EDEB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96" w:type="dxa"/>
            <w:vAlign w:val="center"/>
          </w:tcPr>
          <w:p w14:paraId="7C70E470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4782" w:type="dxa"/>
            <w:vAlign w:val="center"/>
          </w:tcPr>
          <w:p w14:paraId="09397C21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结构规格</w:t>
            </w:r>
          </w:p>
        </w:tc>
        <w:tc>
          <w:tcPr>
            <w:tcW w:w="1433" w:type="dxa"/>
            <w:vAlign w:val="center"/>
          </w:tcPr>
          <w:p w14:paraId="0B4A5BFF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统建（货币）补偿（元/㎡）</w:t>
            </w:r>
          </w:p>
        </w:tc>
        <w:tc>
          <w:tcPr>
            <w:tcW w:w="1232" w:type="dxa"/>
            <w:vAlign w:val="center"/>
          </w:tcPr>
          <w:p w14:paraId="735A1E74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自拆自建</w:t>
            </w:r>
          </w:p>
        </w:tc>
      </w:tr>
      <w:tr w14:paraId="0A8D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 w14:paraId="5D76A1E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框架</w:t>
            </w:r>
          </w:p>
        </w:tc>
        <w:tc>
          <w:tcPr>
            <w:tcW w:w="796" w:type="dxa"/>
            <w:vAlign w:val="center"/>
          </w:tcPr>
          <w:p w14:paraId="2F4A4BEA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2" w:type="dxa"/>
            <w:vAlign w:val="center"/>
          </w:tcPr>
          <w:p w14:paraId="38AC579B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钢筋砼框架，梁柱承重，钢筋砼屋面、楼面，钢、木门窗、层高2.4米以上</w:t>
            </w:r>
          </w:p>
        </w:tc>
        <w:tc>
          <w:tcPr>
            <w:tcW w:w="1433" w:type="dxa"/>
            <w:vAlign w:val="center"/>
          </w:tcPr>
          <w:p w14:paraId="19F87C9E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1232" w:type="dxa"/>
            <w:vAlign w:val="center"/>
          </w:tcPr>
          <w:p w14:paraId="2F638CD9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</w:tr>
      <w:tr w14:paraId="70E6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restart"/>
            <w:vAlign w:val="center"/>
          </w:tcPr>
          <w:p w14:paraId="6FE062AE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混合结构</w:t>
            </w:r>
          </w:p>
        </w:tc>
        <w:tc>
          <w:tcPr>
            <w:tcW w:w="796" w:type="dxa"/>
            <w:vAlign w:val="center"/>
          </w:tcPr>
          <w:p w14:paraId="03D95BFB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2" w:type="dxa"/>
            <w:vAlign w:val="center"/>
          </w:tcPr>
          <w:p w14:paraId="33192DC6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底层为钢筋砼框架，上部为砖墙承重，钢筋砼屋面、楼面，钢、木门窗，层高2.4米以上</w:t>
            </w:r>
          </w:p>
        </w:tc>
        <w:tc>
          <w:tcPr>
            <w:tcW w:w="1433" w:type="dxa"/>
            <w:vAlign w:val="center"/>
          </w:tcPr>
          <w:p w14:paraId="6B472496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1232" w:type="dxa"/>
            <w:vAlign w:val="center"/>
          </w:tcPr>
          <w:p w14:paraId="32D6EEFF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1121</w:t>
            </w:r>
          </w:p>
        </w:tc>
      </w:tr>
      <w:tr w14:paraId="05EF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7605C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3D52A3DF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82" w:type="dxa"/>
            <w:vAlign w:val="center"/>
          </w:tcPr>
          <w:p w14:paraId="16526595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砖墙承重，有构造柱、圈梁，钢筋砼屋面楼面、钢、木门窗，层高2.4米以上</w:t>
            </w:r>
          </w:p>
        </w:tc>
        <w:tc>
          <w:tcPr>
            <w:tcW w:w="1433" w:type="dxa"/>
            <w:vAlign w:val="center"/>
          </w:tcPr>
          <w:p w14:paraId="28912CDA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1392</w:t>
            </w:r>
          </w:p>
        </w:tc>
        <w:tc>
          <w:tcPr>
            <w:tcW w:w="1232" w:type="dxa"/>
            <w:vAlign w:val="center"/>
          </w:tcPr>
          <w:p w14:paraId="11E45AD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</w:tr>
      <w:tr w14:paraId="4002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33B10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5A4AA52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82" w:type="dxa"/>
            <w:vAlign w:val="center"/>
          </w:tcPr>
          <w:p w14:paraId="79B77041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砖墙承重，有圈梁，钢筋砼桁条，钢筋砼楼面、钢、木门窗，层高2.4米以上</w:t>
            </w:r>
          </w:p>
        </w:tc>
        <w:tc>
          <w:tcPr>
            <w:tcW w:w="1433" w:type="dxa"/>
            <w:vAlign w:val="center"/>
          </w:tcPr>
          <w:p w14:paraId="5EF9016D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1336</w:t>
            </w:r>
          </w:p>
        </w:tc>
        <w:tc>
          <w:tcPr>
            <w:tcW w:w="1232" w:type="dxa"/>
            <w:vAlign w:val="center"/>
          </w:tcPr>
          <w:p w14:paraId="00F1AAE4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</w:tr>
      <w:tr w14:paraId="0389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68A28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395CE51F">
            <w:pPr>
              <w:pStyle w:val="4"/>
              <w:keepNext w:val="0"/>
              <w:keepLines w:val="0"/>
              <w:suppressLineNumbers w:val="0"/>
              <w:tabs>
                <w:tab w:val="left" w:pos="453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82" w:type="dxa"/>
            <w:vAlign w:val="center"/>
          </w:tcPr>
          <w:p w14:paraId="2C2A7D8C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砖墙承重，有圈梁，平面屋、瓦屋面，钢、木门窗，层高2.4米以上</w:t>
            </w:r>
          </w:p>
        </w:tc>
        <w:tc>
          <w:tcPr>
            <w:tcW w:w="1433" w:type="dxa"/>
            <w:vAlign w:val="center"/>
          </w:tcPr>
          <w:p w14:paraId="44E224AB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1283</w:t>
            </w:r>
          </w:p>
        </w:tc>
        <w:tc>
          <w:tcPr>
            <w:tcW w:w="1232" w:type="dxa"/>
            <w:vAlign w:val="center"/>
          </w:tcPr>
          <w:p w14:paraId="4A18E8EF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</w:tr>
      <w:tr w14:paraId="330B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59" w:type="dxa"/>
            <w:vMerge w:val="restart"/>
            <w:vAlign w:val="center"/>
          </w:tcPr>
          <w:p w14:paraId="206BBDA1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砖木结构</w:t>
            </w:r>
          </w:p>
        </w:tc>
        <w:tc>
          <w:tcPr>
            <w:tcW w:w="796" w:type="dxa"/>
            <w:vAlign w:val="center"/>
          </w:tcPr>
          <w:p w14:paraId="15D76735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2" w:type="dxa"/>
            <w:vAlign w:val="center"/>
          </w:tcPr>
          <w:p w14:paraId="143AFE5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24砖墙瓦顶,木椽,木条,油毡垫层,檐高2.4米以上</w:t>
            </w:r>
          </w:p>
        </w:tc>
        <w:tc>
          <w:tcPr>
            <w:tcW w:w="1433" w:type="dxa"/>
            <w:vAlign w:val="center"/>
          </w:tcPr>
          <w:p w14:paraId="6EF1EB86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1129</w:t>
            </w:r>
          </w:p>
        </w:tc>
        <w:tc>
          <w:tcPr>
            <w:tcW w:w="1232" w:type="dxa"/>
            <w:vAlign w:val="center"/>
          </w:tcPr>
          <w:p w14:paraId="0653D19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</w:tr>
      <w:tr w14:paraId="6C36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1C6C7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0E98029F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82" w:type="dxa"/>
            <w:vAlign w:val="center"/>
          </w:tcPr>
          <w:p w14:paraId="20CBEFE9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18砖墙瓦顶,竹椽,木条,芦苇垫层,檐高2.4米以上</w:t>
            </w:r>
          </w:p>
        </w:tc>
        <w:tc>
          <w:tcPr>
            <w:tcW w:w="1433" w:type="dxa"/>
            <w:vAlign w:val="center"/>
          </w:tcPr>
          <w:p w14:paraId="2398157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1083</w:t>
            </w:r>
          </w:p>
        </w:tc>
        <w:tc>
          <w:tcPr>
            <w:tcW w:w="1232" w:type="dxa"/>
            <w:vAlign w:val="center"/>
          </w:tcPr>
          <w:p w14:paraId="6F5458AC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</w:tr>
      <w:tr w14:paraId="2390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46323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1446E31A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82" w:type="dxa"/>
            <w:vAlign w:val="center"/>
          </w:tcPr>
          <w:p w14:paraId="21CA7B95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半砖半土、半瓦半草，檐高2.2米以上</w:t>
            </w:r>
          </w:p>
        </w:tc>
        <w:tc>
          <w:tcPr>
            <w:tcW w:w="1433" w:type="dxa"/>
            <w:vAlign w:val="center"/>
          </w:tcPr>
          <w:p w14:paraId="0A9622D9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1232" w:type="dxa"/>
            <w:vAlign w:val="center"/>
          </w:tcPr>
          <w:p w14:paraId="4EB5B151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</w:tr>
      <w:tr w14:paraId="0332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9" w:type="dxa"/>
            <w:vMerge w:val="continue"/>
            <w:vAlign w:val="center"/>
          </w:tcPr>
          <w:p w14:paraId="36957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39820BAD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82" w:type="dxa"/>
            <w:vAlign w:val="center"/>
          </w:tcPr>
          <w:p w14:paraId="637628CC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土墙草顶，檐高2.2以上</w:t>
            </w:r>
          </w:p>
        </w:tc>
        <w:tc>
          <w:tcPr>
            <w:tcW w:w="1433" w:type="dxa"/>
            <w:vAlign w:val="center"/>
          </w:tcPr>
          <w:p w14:paraId="6BC0D33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232" w:type="dxa"/>
            <w:vAlign w:val="center"/>
          </w:tcPr>
          <w:p w14:paraId="313CB99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</w:tr>
    </w:tbl>
    <w:p w14:paraId="79BFEBE3">
      <w:pPr>
        <w:pStyle w:val="7"/>
        <w:spacing w:before="156" w:line="480" w:lineRule="exact"/>
        <w:ind w:firstLine="0" w:firstLineChars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表2-2-3    裕安区被征收中心城区外集体土地上房屋补偿标准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65"/>
        <w:gridCol w:w="4492"/>
        <w:gridCol w:w="1361"/>
        <w:gridCol w:w="1173"/>
      </w:tblGrid>
      <w:tr w14:paraId="0287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 w14:paraId="5557ED8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96" w:type="dxa"/>
            <w:vAlign w:val="center"/>
          </w:tcPr>
          <w:p w14:paraId="314D3B2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4782" w:type="dxa"/>
            <w:vAlign w:val="center"/>
          </w:tcPr>
          <w:p w14:paraId="4A5E68A6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结构规格</w:t>
            </w:r>
          </w:p>
        </w:tc>
        <w:tc>
          <w:tcPr>
            <w:tcW w:w="1433" w:type="dxa"/>
            <w:vAlign w:val="center"/>
          </w:tcPr>
          <w:p w14:paraId="2FCEF855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统建（货币）补偿（元/㎡）</w:t>
            </w:r>
          </w:p>
        </w:tc>
        <w:tc>
          <w:tcPr>
            <w:tcW w:w="1232" w:type="dxa"/>
            <w:vAlign w:val="center"/>
          </w:tcPr>
          <w:p w14:paraId="2FD3EEF9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自拆自建</w:t>
            </w:r>
          </w:p>
        </w:tc>
      </w:tr>
      <w:tr w14:paraId="646D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 w14:paraId="49E924B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框架</w:t>
            </w:r>
          </w:p>
        </w:tc>
        <w:tc>
          <w:tcPr>
            <w:tcW w:w="796" w:type="dxa"/>
            <w:vAlign w:val="center"/>
          </w:tcPr>
          <w:p w14:paraId="4AEA6024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2" w:type="dxa"/>
            <w:vAlign w:val="center"/>
          </w:tcPr>
          <w:p w14:paraId="1317D4C0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钢筋砼框架，梁柱承重，钢筋砼屋面、楼面，钢、木门窗、层高2.4米以上</w:t>
            </w:r>
          </w:p>
        </w:tc>
        <w:tc>
          <w:tcPr>
            <w:tcW w:w="1433" w:type="dxa"/>
            <w:vAlign w:val="center"/>
          </w:tcPr>
          <w:p w14:paraId="75DE840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1232" w:type="dxa"/>
            <w:vAlign w:val="center"/>
          </w:tcPr>
          <w:p w14:paraId="4230CA8B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1132</w:t>
            </w:r>
          </w:p>
        </w:tc>
      </w:tr>
      <w:tr w14:paraId="39B5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restart"/>
            <w:vAlign w:val="center"/>
          </w:tcPr>
          <w:p w14:paraId="78F27095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混合结构</w:t>
            </w:r>
          </w:p>
        </w:tc>
        <w:tc>
          <w:tcPr>
            <w:tcW w:w="796" w:type="dxa"/>
            <w:vAlign w:val="center"/>
          </w:tcPr>
          <w:p w14:paraId="33DE59BF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2" w:type="dxa"/>
            <w:vAlign w:val="center"/>
          </w:tcPr>
          <w:p w14:paraId="0EDF088A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底层为钢筋砼框架，上部为砖墙承重，钢筋砼屋面、楼面，钢、木门窗，层高2.4米以上</w:t>
            </w:r>
          </w:p>
        </w:tc>
        <w:tc>
          <w:tcPr>
            <w:tcW w:w="1433" w:type="dxa"/>
            <w:vAlign w:val="center"/>
          </w:tcPr>
          <w:p w14:paraId="13A1037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1445</w:t>
            </w:r>
          </w:p>
        </w:tc>
        <w:tc>
          <w:tcPr>
            <w:tcW w:w="1232" w:type="dxa"/>
            <w:vAlign w:val="center"/>
          </w:tcPr>
          <w:p w14:paraId="1410918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1087</w:t>
            </w:r>
          </w:p>
        </w:tc>
      </w:tr>
      <w:tr w14:paraId="477E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22097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3F9C37C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82" w:type="dxa"/>
            <w:vAlign w:val="center"/>
          </w:tcPr>
          <w:p w14:paraId="12FC137A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砖墙承重，有构造柱、圈梁，钢筋砼屋面楼面、钢、木门窗，层高2.4米以上</w:t>
            </w:r>
          </w:p>
        </w:tc>
        <w:tc>
          <w:tcPr>
            <w:tcW w:w="1433" w:type="dxa"/>
            <w:vAlign w:val="center"/>
          </w:tcPr>
          <w:p w14:paraId="7748E5A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1232" w:type="dxa"/>
            <w:vAlign w:val="center"/>
          </w:tcPr>
          <w:p w14:paraId="5F827E1C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</w:tr>
      <w:tr w14:paraId="2B2B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75028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11A2DB8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82" w:type="dxa"/>
            <w:vAlign w:val="center"/>
          </w:tcPr>
          <w:p w14:paraId="7640B589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砖墙承重，有圈梁，钢筋砼桁条，钢筋砼楼面、钢、木门窗，层高2.4米以上</w:t>
            </w:r>
          </w:p>
        </w:tc>
        <w:tc>
          <w:tcPr>
            <w:tcW w:w="1433" w:type="dxa"/>
            <w:vAlign w:val="center"/>
          </w:tcPr>
          <w:p w14:paraId="028953CE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1332</w:t>
            </w:r>
          </w:p>
        </w:tc>
        <w:tc>
          <w:tcPr>
            <w:tcW w:w="1232" w:type="dxa"/>
            <w:vAlign w:val="center"/>
          </w:tcPr>
          <w:p w14:paraId="6725537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</w:tr>
      <w:tr w14:paraId="10C2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5AC23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7021BEAA">
            <w:pPr>
              <w:pStyle w:val="4"/>
              <w:keepNext w:val="0"/>
              <w:keepLines w:val="0"/>
              <w:suppressLineNumbers w:val="0"/>
              <w:tabs>
                <w:tab w:val="left" w:pos="453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82" w:type="dxa"/>
            <w:vAlign w:val="center"/>
          </w:tcPr>
          <w:p w14:paraId="7ADBEEBB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砖墙承重，有圈梁，平面屋、瓦屋面，钢、木门窗，层高2.4米以上</w:t>
            </w:r>
          </w:p>
        </w:tc>
        <w:tc>
          <w:tcPr>
            <w:tcW w:w="1433" w:type="dxa"/>
            <w:vAlign w:val="center"/>
          </w:tcPr>
          <w:p w14:paraId="0BCC1900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1232" w:type="dxa"/>
            <w:vAlign w:val="center"/>
          </w:tcPr>
          <w:p w14:paraId="4A9222D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</w:tr>
      <w:tr w14:paraId="08AF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restart"/>
            <w:vAlign w:val="center"/>
          </w:tcPr>
          <w:p w14:paraId="07209C30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砖木结构</w:t>
            </w:r>
          </w:p>
        </w:tc>
        <w:tc>
          <w:tcPr>
            <w:tcW w:w="796" w:type="dxa"/>
            <w:vAlign w:val="center"/>
          </w:tcPr>
          <w:p w14:paraId="7C0A901F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2" w:type="dxa"/>
            <w:vAlign w:val="center"/>
          </w:tcPr>
          <w:p w14:paraId="6FE3FAE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砖墙瓦顶,木椽,木条,油毡垫层,檐高2.4米以上</w:t>
            </w:r>
          </w:p>
        </w:tc>
        <w:tc>
          <w:tcPr>
            <w:tcW w:w="1433" w:type="dxa"/>
            <w:vAlign w:val="center"/>
          </w:tcPr>
          <w:p w14:paraId="61C676C5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1125</w:t>
            </w:r>
          </w:p>
        </w:tc>
        <w:tc>
          <w:tcPr>
            <w:tcW w:w="1232" w:type="dxa"/>
            <w:vAlign w:val="center"/>
          </w:tcPr>
          <w:p w14:paraId="488D6EA1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</w:tr>
      <w:tr w14:paraId="25B6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1A83A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42756926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82" w:type="dxa"/>
            <w:vAlign w:val="center"/>
          </w:tcPr>
          <w:p w14:paraId="09529337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砖墙瓦顶,竹椽,木条,芦苇垫层,檐高2.4米以上</w:t>
            </w:r>
          </w:p>
        </w:tc>
        <w:tc>
          <w:tcPr>
            <w:tcW w:w="1433" w:type="dxa"/>
            <w:vAlign w:val="center"/>
          </w:tcPr>
          <w:p w14:paraId="40359E9B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1232" w:type="dxa"/>
            <w:vAlign w:val="center"/>
          </w:tcPr>
          <w:p w14:paraId="0FF43B5C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</w:tr>
      <w:tr w14:paraId="6453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65F7F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680F0D47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82" w:type="dxa"/>
            <w:vAlign w:val="center"/>
          </w:tcPr>
          <w:p w14:paraId="2BEB52B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半砖半土、半瓦半草，檐高2.2米以上</w:t>
            </w:r>
          </w:p>
        </w:tc>
        <w:tc>
          <w:tcPr>
            <w:tcW w:w="1433" w:type="dxa"/>
            <w:vAlign w:val="center"/>
          </w:tcPr>
          <w:p w14:paraId="7EDC8872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232" w:type="dxa"/>
            <w:vAlign w:val="center"/>
          </w:tcPr>
          <w:p w14:paraId="77FB55D8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</w:tr>
      <w:tr w14:paraId="45E8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79A7D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Align w:val="center"/>
          </w:tcPr>
          <w:p w14:paraId="59E0FEA1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82" w:type="dxa"/>
            <w:vAlign w:val="center"/>
          </w:tcPr>
          <w:p w14:paraId="01579D23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土墙草顶，檐高2.2以上</w:t>
            </w:r>
          </w:p>
        </w:tc>
        <w:tc>
          <w:tcPr>
            <w:tcW w:w="1433" w:type="dxa"/>
            <w:vAlign w:val="center"/>
          </w:tcPr>
          <w:p w14:paraId="4A6A775C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232" w:type="dxa"/>
            <w:vAlign w:val="center"/>
          </w:tcPr>
          <w:p w14:paraId="21DDC684">
            <w:pPr>
              <w:pStyle w:val="4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</w:tr>
    </w:tbl>
    <w:p w14:paraId="77C1CFDC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上表的重置价标准与市场价格水平基本一致，故在房地出租、房地出售的样点地价测算过程中直接引用。在日常宗地评估中，也可采用住建部门工程造价管理等单位出台的实时数据。</w:t>
      </w:r>
    </w:p>
    <w:p w14:paraId="1CB04016">
      <w:pPr>
        <w:keepNext/>
        <w:keepLines/>
        <w:spacing w:before="360" w:after="260" w:line="240" w:lineRule="auto"/>
        <w:ind w:firstLine="643"/>
        <w:jc w:val="center"/>
        <w:outlineLvl w:val="2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2" w:name="_Toc77160286"/>
      <w:bookmarkStart w:id="23" w:name="_Toc20541"/>
      <w:bookmarkStart w:id="24" w:name="_Toc477524880"/>
      <w:bookmarkStart w:id="25" w:name="_Toc509843362"/>
      <w:bookmarkStart w:id="26" w:name="_Toc536097421"/>
      <w:bookmarkStart w:id="27" w:name="_Toc217577578"/>
      <w:bookmarkStart w:id="28" w:name="_Toc440436596"/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第四节  容积率修正系数测算与确定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78BA6D67">
      <w:pPr>
        <w:adjustRightInd w:val="0"/>
        <w:ind w:firstLine="562"/>
        <w:rPr>
          <w:rFonts w:hint="default" w:ascii="Times New Roman" w:hAnsi="Times New Roman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商业服务业用地容积率修正系数测算与确定</w:t>
      </w:r>
    </w:p>
    <w:p w14:paraId="7A181C9F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利用房地出租样点地价资料，对集体建设用地中商业服务业用地容积率修正系数进行实测，以各级别内平均容积率区段修正系数设为1.00，测算了各级别内各容积率区段商业服务业、公共管理与公共服务和公用设施用地地价的修正系数。在容积率修正系数测算的基础上，对某些容积率区段无实例修正系数的采用内插法确定，确定结果见下。</w:t>
      </w:r>
    </w:p>
    <w:p w14:paraId="0CAD5B7D">
      <w:pPr>
        <w:pStyle w:val="7"/>
        <w:spacing w:before="156" w:line="480" w:lineRule="exact"/>
        <w:ind w:firstLine="0" w:firstLineChars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表2-2-4  商服用地容积率修正系数表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627"/>
        <w:gridCol w:w="617"/>
        <w:gridCol w:w="617"/>
        <w:gridCol w:w="617"/>
        <w:gridCol w:w="615"/>
        <w:gridCol w:w="615"/>
        <w:gridCol w:w="615"/>
        <w:gridCol w:w="615"/>
        <w:gridCol w:w="615"/>
        <w:gridCol w:w="616"/>
        <w:gridCol w:w="616"/>
        <w:gridCol w:w="625"/>
      </w:tblGrid>
      <w:tr w14:paraId="12A4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48E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-1905</wp:posOffset>
                      </wp:positionV>
                      <wp:extent cx="540385" cy="492760"/>
                      <wp:effectExtent l="3175" t="3810" r="8890" b="177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385" cy="492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5pt;margin-top:-0.15pt;height:38.8pt;width:42.55pt;z-index:251660288;mso-width-relative:page;mso-height-relative:page;" filled="f" stroked="t" coordsize="21600,21600" o:gfxdata="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d3/INQA&#10;AAAHAQAADwAAAAAAAAABACAAAAAiAAAAZHJzL2Rvd25yZXYueG1sUEsBAhQAFAAAAAgAh07iQKBI&#10;fBLqAQAArgMAAA4AAAAAAAAAAQAgAAAAIw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-1905</wp:posOffset>
                      </wp:positionV>
                      <wp:extent cx="731520" cy="246380"/>
                      <wp:effectExtent l="1270" t="4445" r="10160" b="1587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246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5pt;margin-top:-0.15pt;height:19.4pt;width:57.6pt;z-index:251659264;mso-width-relative:page;mso-height-relative:page;" filled="f" stroked="t" coordsize="21600,21600" o:gfxdata="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WNkVvV&#10;AAAABwEAAA8AAAAAAAAAAQAgAAAAIgAAAGRycy9kb3ducmV2LnhtbFBLAQIUABQAAAAIAIdO4kAq&#10;81ZY6gEAAK4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容积率</w:t>
            </w:r>
          </w:p>
          <w:p w14:paraId="3B54675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修正系数</w:t>
            </w:r>
          </w:p>
          <w:p w14:paraId="0C6451E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土地级别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697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≤1.0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04E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486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101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18F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E18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3E1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C55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5AF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840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CC2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461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≥3.0</w:t>
            </w:r>
          </w:p>
        </w:tc>
      </w:tr>
      <w:tr w14:paraId="2869F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220FB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993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3CA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FE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201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694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97C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BB2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408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164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33C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742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98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3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78BDB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59A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722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371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180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42E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6DA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164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6F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A27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EE4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CF3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77C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03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155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BFE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CC9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2E92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6FD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CB6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D83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A71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5FC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602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A89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1.33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16E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1.59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070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</w:tr>
      <w:tr w14:paraId="14B3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36B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C11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06A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A24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241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2E5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746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409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164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191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29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1.33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0D2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1.59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D7B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</w:tr>
      <w:tr w14:paraId="4F1B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FA3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47C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8EA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90B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532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5B9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12A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11E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0F7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490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AE4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C2F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1.60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537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1.90</w:t>
            </w:r>
          </w:p>
        </w:tc>
      </w:tr>
      <w:tr w14:paraId="72D3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314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FDF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AFE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2BF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34A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4AB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709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7A3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3BF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CCD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F3B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1.35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380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1.60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808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1.90</w:t>
            </w:r>
          </w:p>
        </w:tc>
      </w:tr>
    </w:tbl>
    <w:p w14:paraId="37BCA456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E0A6DE1">
      <w:pPr>
        <w:keepNext/>
        <w:keepLines/>
        <w:spacing w:before="120" w:after="260" w:line="240" w:lineRule="auto"/>
        <w:ind w:firstLine="643"/>
        <w:jc w:val="center"/>
        <w:outlineLvl w:val="2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9" w:name="_Toc536097422"/>
      <w:bookmarkStart w:id="30" w:name="_Toc217577579"/>
      <w:bookmarkStart w:id="31" w:name="_Toc77160287"/>
      <w:bookmarkStart w:id="32" w:name="_Toc509843363"/>
      <w:bookmarkStart w:id="33" w:name="_Toc477524881"/>
      <w:bookmarkStart w:id="34" w:name="_Toc26135"/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第五节  土地开发水平修正的确定</w:t>
      </w:r>
      <w:bookmarkEnd w:id="29"/>
      <w:bookmarkEnd w:id="30"/>
      <w:bookmarkEnd w:id="31"/>
      <w:bookmarkEnd w:id="32"/>
      <w:bookmarkEnd w:id="33"/>
      <w:bookmarkEnd w:id="34"/>
    </w:p>
    <w:p w14:paraId="2A26D6A0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土地开发费用主要是指宗地红线内外通路、通电、供水、排水、通气、通讯等方面的费用和场地平整费用。。各项费用的分摊见下表。</w:t>
      </w:r>
    </w:p>
    <w:p w14:paraId="41352021">
      <w:pPr>
        <w:pStyle w:val="7"/>
        <w:spacing w:before="156" w:line="480" w:lineRule="exact"/>
        <w:ind w:firstLine="0" w:firstLineChars="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表2-2-5  土地开发费用分项一览表</w:t>
      </w:r>
    </w:p>
    <w:tbl>
      <w:tblPr>
        <w:tblStyle w:val="5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957"/>
        <w:gridCol w:w="959"/>
        <w:gridCol w:w="959"/>
        <w:gridCol w:w="959"/>
        <w:gridCol w:w="959"/>
        <w:gridCol w:w="959"/>
        <w:gridCol w:w="960"/>
      </w:tblGrid>
      <w:tr w14:paraId="6FF2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9" w:type="pct"/>
            <w:vAlign w:val="center"/>
          </w:tcPr>
          <w:p w14:paraId="2B2E6E4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土地开发项目</w:t>
            </w:r>
          </w:p>
        </w:tc>
        <w:tc>
          <w:tcPr>
            <w:tcW w:w="575" w:type="pct"/>
            <w:vAlign w:val="center"/>
          </w:tcPr>
          <w:p w14:paraId="05A5BDC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通路</w:t>
            </w:r>
          </w:p>
        </w:tc>
        <w:tc>
          <w:tcPr>
            <w:tcW w:w="576" w:type="pct"/>
            <w:vAlign w:val="center"/>
          </w:tcPr>
          <w:p w14:paraId="4D88468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通电</w:t>
            </w:r>
          </w:p>
        </w:tc>
        <w:tc>
          <w:tcPr>
            <w:tcW w:w="576" w:type="pct"/>
            <w:vAlign w:val="center"/>
          </w:tcPr>
          <w:p w14:paraId="480A077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供水</w:t>
            </w:r>
          </w:p>
        </w:tc>
        <w:tc>
          <w:tcPr>
            <w:tcW w:w="576" w:type="pct"/>
            <w:vAlign w:val="center"/>
          </w:tcPr>
          <w:p w14:paraId="2AE763C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排水</w:t>
            </w:r>
          </w:p>
        </w:tc>
        <w:tc>
          <w:tcPr>
            <w:tcW w:w="576" w:type="pct"/>
            <w:vAlign w:val="center"/>
          </w:tcPr>
          <w:p w14:paraId="7566BB6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576" w:type="pct"/>
            <w:vAlign w:val="center"/>
          </w:tcPr>
          <w:p w14:paraId="06B7E5A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场地平整</w:t>
            </w:r>
          </w:p>
        </w:tc>
        <w:tc>
          <w:tcPr>
            <w:tcW w:w="576" w:type="pct"/>
            <w:vAlign w:val="center"/>
          </w:tcPr>
          <w:p w14:paraId="10FEE64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04D7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9" w:type="pct"/>
            <w:vAlign w:val="center"/>
          </w:tcPr>
          <w:p w14:paraId="7577A48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红线外（元/m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75" w:type="pct"/>
            <w:vAlign w:val="center"/>
          </w:tcPr>
          <w:p w14:paraId="6B670FE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6" w:type="pct"/>
            <w:vAlign w:val="center"/>
          </w:tcPr>
          <w:p w14:paraId="116AB342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6" w:type="pct"/>
            <w:vAlign w:val="center"/>
          </w:tcPr>
          <w:p w14:paraId="7D57091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pct"/>
            <w:vAlign w:val="center"/>
          </w:tcPr>
          <w:p w14:paraId="5E7C59B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pct"/>
            <w:vAlign w:val="center"/>
          </w:tcPr>
          <w:p w14:paraId="0560AD6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pct"/>
            <w:vAlign w:val="center"/>
          </w:tcPr>
          <w:p w14:paraId="40C20FB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pct"/>
            <w:vAlign w:val="center"/>
          </w:tcPr>
          <w:p w14:paraId="751E302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6FE7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9" w:type="pct"/>
            <w:vAlign w:val="center"/>
          </w:tcPr>
          <w:p w14:paraId="62267D9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红线内（元/m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75" w:type="pct"/>
            <w:vAlign w:val="center"/>
          </w:tcPr>
          <w:p w14:paraId="7609E3F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pct"/>
            <w:vAlign w:val="center"/>
          </w:tcPr>
          <w:p w14:paraId="5431AF7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pct"/>
            <w:vAlign w:val="center"/>
          </w:tcPr>
          <w:p w14:paraId="74982FD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pct"/>
            <w:vAlign w:val="center"/>
          </w:tcPr>
          <w:p w14:paraId="708AF8C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pct"/>
            <w:vAlign w:val="center"/>
          </w:tcPr>
          <w:p w14:paraId="7208CB8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76" w:type="pct"/>
            <w:vAlign w:val="center"/>
          </w:tcPr>
          <w:p w14:paraId="6E9805B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6" w:type="pct"/>
            <w:vAlign w:val="center"/>
          </w:tcPr>
          <w:p w14:paraId="385C5E7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 w14:paraId="14385EAB">
      <w:pPr>
        <w:adjustRightInd w:val="0"/>
        <w:ind w:firstLine="56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评估级别或区段基准地价时，如地价样点的实际开发程度与级别或区段平均开发程度一致时，不作修正；如不一致，则需进行修正，即在样点地价基础上加上（指地价样点开发程度低于级别或区段平均开发程度）或减去（指地价样点开发程度高于级别或区段平均开发程度）相应项目的费用。</w:t>
      </w:r>
    </w:p>
    <w:p w14:paraId="6BE3AC30"/>
    <w:p w14:paraId="5A365FB5"/>
    <w:p w14:paraId="25A94262"/>
    <w:p w14:paraId="4B49D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F58C6"/>
    <w:rsid w:val="23A828C6"/>
    <w:rsid w:val="4EFB339B"/>
    <w:rsid w:val="5C4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Times New Roman" w:hAnsi="Times New Roman" w:eastAsia="仿宋_GB2312" w:cs="宋体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tabs>
        <w:tab w:val="left" w:pos="3686"/>
      </w:tabs>
      <w:kinsoku w:val="0"/>
      <w:overflowPunct w:val="0"/>
      <w:autoSpaceDE w:val="0"/>
      <w:autoSpaceDN w:val="0"/>
      <w:adjustRightInd w:val="0"/>
      <w:snapToGrid w:val="0"/>
      <w:spacing w:line="240" w:lineRule="auto"/>
      <w:ind w:firstLine="0" w:firstLineChars="0"/>
    </w:pPr>
    <w:rPr>
      <w:sz w:val="21"/>
      <w:szCs w:val="21"/>
      <w:lang w:val="zh-CN"/>
    </w:rPr>
  </w:style>
  <w:style w:type="paragraph" w:styleId="3">
    <w:name w:val="Subtitle"/>
    <w:basedOn w:val="1"/>
    <w:next w:val="1"/>
    <w:qFormat/>
    <w:uiPriority w:val="0"/>
    <w:pPr>
      <w:tabs>
        <w:tab w:val="left" w:pos="3686"/>
      </w:tabs>
      <w:ind w:firstLine="562"/>
    </w:pPr>
    <w:rPr>
      <w:rFonts w:cs="Times New Roman"/>
      <w:b/>
      <w:bCs/>
      <w:kern w:val="28"/>
      <w:szCs w:val="32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/>
      <w:color w:val="000000"/>
      <w:sz w:val="24"/>
    </w:rPr>
  </w:style>
  <w:style w:type="paragraph" w:customStyle="1" w:styleId="7">
    <w:name w:val="图表标注"/>
    <w:basedOn w:val="3"/>
    <w:autoRedefine/>
    <w:qFormat/>
    <w:uiPriority w:val="0"/>
    <w:pPr>
      <w:spacing w:line="360" w:lineRule="auto"/>
      <w:jc w:val="center"/>
    </w:pPr>
  </w:style>
  <w:style w:type="paragraph" w:customStyle="1" w:styleId="8">
    <w:name w:val="徽州区表格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2167</Words>
  <Characters>2583</Characters>
  <Lines>0</Lines>
  <Paragraphs>0</Paragraphs>
  <TotalTime>1</TotalTime>
  <ScaleCrop>false</ScaleCrop>
  <LinksUpToDate>false</LinksUpToDate>
  <CharactersWithSpaces>2608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2026-03-02T02:40:00Z</dcterms:created>
  <dc:creator>艾丽爱学习</dc:creator>
  <cp:lastModifiedBy>HEALTHY</cp:lastModifiedBy>
  <dcterms:modified xsi:type="dcterms:W3CDTF">2026-03-02T02:57:55Z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C888A135EF944B08935A6F99AD3425F0_13</vt:lpwstr>
  </property>
  <property fmtid="{D5CDD505-2E9C-101B-9397-08002B2CF9AE}" pid="4" name="KSOTemplateDocerSaveRecord">
    <vt:lpwstr>eyJoZGlkIjoiYjY3NmRkMDYwZThlNDRjMjU2NDQ5YjE4ZjE0Y2Y5ODYiLCJ1c2VySWQiOiI0NzE3MTY5MzkifQ==</vt:lpwstr>
  </property>
</Properties>
</file>