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DC670">
      <w:pPr>
        <w:tabs>
          <w:tab w:val="left" w:pos="420"/>
        </w:tabs>
        <w:spacing w:before="468" w:beforeLines="15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2026年采矿权实地勘测定界和超层越界开采动态监测</w:t>
      </w:r>
    </w:p>
    <w:p w14:paraId="3E4EFD10">
      <w:pPr>
        <w:tabs>
          <w:tab w:val="left" w:pos="420"/>
        </w:tabs>
        <w:spacing w:before="468" w:beforeLines="150"/>
        <w:jc w:val="center"/>
        <w:rPr>
          <w:rFonts w:hint="eastAsia" w:ascii="宋体" w:hAnsi="宋体" w:eastAsia="宋体" w:cs="宋体"/>
          <w:b/>
          <w:color w:val="auto"/>
          <w:sz w:val="44"/>
          <w:szCs w:val="44"/>
          <w:highlight w:val="none"/>
          <w:lang w:eastAsia="zh-CN"/>
        </w:rPr>
      </w:pPr>
    </w:p>
    <w:p w14:paraId="7DFBED22">
      <w:pPr>
        <w:tabs>
          <w:tab w:val="left" w:pos="420"/>
        </w:tabs>
        <w:spacing w:before="468" w:beforeLines="150"/>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竞争性磋商文件</w:t>
      </w:r>
    </w:p>
    <w:p w14:paraId="6A0054F5">
      <w:pPr>
        <w:tabs>
          <w:tab w:val="left" w:pos="315"/>
          <w:tab w:val="left" w:pos="8820"/>
        </w:tabs>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（服务类</w:t>
      </w:r>
      <w:r>
        <w:rPr>
          <w:rFonts w:hint="eastAsia" w:ascii="宋体" w:hAnsi="宋体" w:eastAsia="宋体" w:cs="宋体"/>
          <w:color w:val="auto"/>
          <w:spacing w:val="11"/>
          <w:kern w:val="0"/>
          <w:sz w:val="36"/>
          <w:szCs w:val="36"/>
          <w:highlight w:val="none"/>
        </w:rPr>
        <w:t>）</w:t>
      </w:r>
    </w:p>
    <w:p w14:paraId="47D0DC90">
      <w:pPr>
        <w:jc w:val="center"/>
        <w:rPr>
          <w:rFonts w:hint="eastAsia" w:ascii="宋体" w:hAnsi="宋体" w:eastAsia="宋体" w:cs="宋体"/>
          <w:color w:val="auto"/>
          <w:sz w:val="28"/>
          <w:szCs w:val="28"/>
          <w:highlight w:val="none"/>
        </w:rPr>
      </w:pPr>
    </w:p>
    <w:p w14:paraId="08FD95A0">
      <w:pPr>
        <w:ind w:firstLine="2560" w:firstLineChars="800"/>
        <w:jc w:val="both"/>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ascii="宋体" w:hAnsi="宋体" w:cs="宋体"/>
          <w:color w:val="auto"/>
          <w:sz w:val="32"/>
          <w:szCs w:val="32"/>
          <w:highlight w:val="none"/>
          <w:lang w:val="en-US" w:eastAsia="zh-CN"/>
        </w:rPr>
        <w:t>AHFC202603002</w:t>
      </w:r>
    </w:p>
    <w:p w14:paraId="0D2E00CA">
      <w:pPr>
        <w:pStyle w:val="40"/>
        <w:rPr>
          <w:rFonts w:hint="eastAsia" w:ascii="宋体" w:hAnsi="宋体" w:eastAsia="宋体" w:cs="宋体"/>
          <w:color w:val="auto"/>
          <w:highlight w:val="none"/>
        </w:rPr>
      </w:pPr>
    </w:p>
    <w:p w14:paraId="218E8B9A">
      <w:pPr>
        <w:pStyle w:val="40"/>
        <w:rPr>
          <w:rFonts w:hint="eastAsia" w:ascii="宋体" w:hAnsi="宋体" w:eastAsia="宋体" w:cs="宋体"/>
          <w:color w:val="auto"/>
          <w:sz w:val="44"/>
          <w:highlight w:val="none"/>
        </w:rPr>
      </w:pPr>
    </w:p>
    <w:p w14:paraId="2387F8CC">
      <w:pPr>
        <w:pStyle w:val="40"/>
        <w:rPr>
          <w:rFonts w:hint="eastAsia" w:ascii="宋体" w:hAnsi="宋体" w:eastAsia="宋体" w:cs="宋体"/>
          <w:b/>
          <w:color w:val="auto"/>
          <w:spacing w:val="20"/>
          <w:kern w:val="0"/>
          <w:sz w:val="32"/>
          <w:szCs w:val="32"/>
          <w:highlight w:val="none"/>
        </w:rPr>
      </w:pPr>
    </w:p>
    <w:p w14:paraId="0FA36ADE">
      <w:pPr>
        <w:pStyle w:val="40"/>
        <w:rPr>
          <w:rFonts w:hint="eastAsia" w:ascii="宋体" w:hAnsi="宋体" w:eastAsia="宋体" w:cs="宋体"/>
          <w:b/>
          <w:color w:val="auto"/>
          <w:spacing w:val="20"/>
          <w:kern w:val="0"/>
          <w:sz w:val="32"/>
          <w:szCs w:val="32"/>
          <w:highlight w:val="none"/>
        </w:rPr>
      </w:pPr>
    </w:p>
    <w:p w14:paraId="352AA17E">
      <w:pPr>
        <w:pStyle w:val="40"/>
        <w:rPr>
          <w:rFonts w:hint="eastAsia" w:ascii="宋体" w:hAnsi="宋体" w:eastAsia="宋体" w:cs="宋体"/>
          <w:b/>
          <w:color w:val="auto"/>
          <w:spacing w:val="20"/>
          <w:kern w:val="0"/>
          <w:sz w:val="32"/>
          <w:szCs w:val="32"/>
          <w:highlight w:val="none"/>
        </w:rPr>
      </w:pPr>
    </w:p>
    <w:p w14:paraId="425FCA34">
      <w:pPr>
        <w:pStyle w:val="40"/>
        <w:rPr>
          <w:rFonts w:hint="eastAsia" w:ascii="宋体" w:hAnsi="宋体" w:eastAsia="宋体" w:cs="宋体"/>
          <w:b/>
          <w:color w:val="auto"/>
          <w:spacing w:val="20"/>
          <w:kern w:val="0"/>
          <w:sz w:val="32"/>
          <w:szCs w:val="32"/>
          <w:highlight w:val="none"/>
        </w:rPr>
      </w:pPr>
    </w:p>
    <w:p w14:paraId="600F0764">
      <w:pPr>
        <w:tabs>
          <w:tab w:val="left" w:pos="2410"/>
        </w:tabs>
        <w:autoSpaceDE w:val="0"/>
        <w:autoSpaceDN w:val="0"/>
        <w:adjustRightInd w:val="0"/>
        <w:snapToGrid w:val="0"/>
        <w:spacing w:line="360" w:lineRule="auto"/>
        <w:ind w:firstLine="1030" w:firstLineChars="300"/>
        <w:jc w:val="left"/>
        <w:rPr>
          <w:rFonts w:hint="eastAsia" w:ascii="宋体" w:hAnsi="宋体" w:eastAsia="宋体" w:cs="宋体"/>
          <w:b/>
          <w:color w:val="auto"/>
          <w:spacing w:val="11"/>
          <w:kern w:val="0"/>
          <w:sz w:val="32"/>
          <w:szCs w:val="32"/>
          <w:highlight w:val="none"/>
          <w:lang w:eastAsia="zh-CN"/>
        </w:rPr>
      </w:pPr>
      <w:r>
        <w:rPr>
          <w:rFonts w:hint="eastAsia" w:ascii="宋体" w:hAnsi="宋体" w:eastAsia="宋体" w:cs="宋体"/>
          <w:b/>
          <w:color w:val="auto"/>
          <w:spacing w:val="11"/>
          <w:kern w:val="0"/>
          <w:sz w:val="32"/>
          <w:szCs w:val="32"/>
          <w:highlight w:val="none"/>
        </w:rPr>
        <w:t>采 购 人：</w:t>
      </w:r>
      <w:r>
        <w:rPr>
          <w:rFonts w:hint="eastAsia" w:ascii="宋体" w:hAnsi="宋体" w:eastAsia="宋体" w:cs="宋体"/>
          <w:b/>
          <w:color w:val="auto"/>
          <w:spacing w:val="11"/>
          <w:kern w:val="0"/>
          <w:sz w:val="32"/>
          <w:szCs w:val="32"/>
          <w:highlight w:val="none"/>
          <w:lang w:eastAsia="zh-CN"/>
        </w:rPr>
        <w:t>六安市自然资源和规划局</w:t>
      </w:r>
    </w:p>
    <w:p w14:paraId="11296FA1">
      <w:pPr>
        <w:tabs>
          <w:tab w:val="left" w:pos="2410"/>
        </w:tabs>
        <w:autoSpaceDE w:val="0"/>
        <w:autoSpaceDN w:val="0"/>
        <w:adjustRightInd w:val="0"/>
        <w:snapToGrid w:val="0"/>
        <w:spacing w:line="360" w:lineRule="auto"/>
        <w:ind w:firstLine="1030" w:firstLineChars="300"/>
        <w:jc w:val="left"/>
        <w:rPr>
          <w:rFonts w:hint="eastAsia" w:ascii="宋体" w:hAnsi="宋体" w:eastAsia="宋体" w:cs="宋体"/>
          <w:b/>
          <w:color w:val="auto"/>
          <w:spacing w:val="11"/>
          <w:kern w:val="0"/>
          <w:sz w:val="32"/>
          <w:szCs w:val="32"/>
          <w:highlight w:val="none"/>
          <w:lang w:eastAsia="zh-CN"/>
        </w:rPr>
      </w:pPr>
      <w:r>
        <w:rPr>
          <w:rFonts w:hint="eastAsia" w:ascii="宋体" w:hAnsi="宋体" w:eastAsia="宋体" w:cs="宋体"/>
          <w:b/>
          <w:color w:val="auto"/>
          <w:spacing w:val="11"/>
          <w:kern w:val="0"/>
          <w:sz w:val="32"/>
          <w:szCs w:val="32"/>
          <w:highlight w:val="none"/>
        </w:rPr>
        <w:t>采购代理机构：</w:t>
      </w:r>
      <w:r>
        <w:rPr>
          <w:rFonts w:hint="eastAsia" w:ascii="宋体" w:hAnsi="宋体" w:cs="宋体"/>
          <w:b/>
          <w:color w:val="auto"/>
          <w:spacing w:val="11"/>
          <w:kern w:val="0"/>
          <w:sz w:val="32"/>
          <w:szCs w:val="32"/>
          <w:highlight w:val="none"/>
          <w:lang w:eastAsia="zh-CN"/>
        </w:rPr>
        <w:t>安徽方成项目管理有限公司</w:t>
      </w:r>
    </w:p>
    <w:p w14:paraId="72FAAF51">
      <w:pPr>
        <w:tabs>
          <w:tab w:val="left" w:pos="2410"/>
        </w:tabs>
        <w:autoSpaceDE w:val="0"/>
        <w:autoSpaceDN w:val="0"/>
        <w:adjustRightInd w:val="0"/>
        <w:snapToGrid w:val="0"/>
        <w:spacing w:line="360" w:lineRule="auto"/>
        <w:ind w:firstLine="1030" w:firstLineChars="300"/>
        <w:jc w:val="both"/>
        <w:rPr>
          <w:rFonts w:hint="eastAsia" w:ascii="宋体" w:hAnsi="宋体" w:eastAsia="宋体" w:cs="宋体"/>
          <w:b/>
          <w:color w:val="auto"/>
          <w:spacing w:val="142"/>
          <w:kern w:val="0"/>
          <w:sz w:val="32"/>
          <w:szCs w:val="32"/>
          <w:highlight w:val="none"/>
        </w:rPr>
      </w:pPr>
      <w:r>
        <w:rPr>
          <w:rFonts w:hint="eastAsia" w:ascii="宋体" w:hAnsi="宋体" w:eastAsia="宋体" w:cs="宋体"/>
          <w:b/>
          <w:color w:val="auto"/>
          <w:spacing w:val="11"/>
          <w:kern w:val="0"/>
          <w:sz w:val="32"/>
          <w:szCs w:val="32"/>
          <w:highlight w:val="none"/>
        </w:rPr>
        <w:t>采购时间：</w:t>
      </w:r>
      <w:r>
        <w:rPr>
          <w:rFonts w:hint="eastAsia" w:ascii="宋体" w:hAnsi="宋体" w:cs="宋体"/>
          <w:b/>
          <w:color w:val="auto"/>
          <w:spacing w:val="0"/>
          <w:kern w:val="0"/>
          <w:sz w:val="32"/>
          <w:szCs w:val="32"/>
          <w:highlight w:val="none"/>
          <w:lang w:val="en-US" w:eastAsia="zh-CN"/>
        </w:rPr>
        <w:t>2026</w:t>
      </w:r>
      <w:r>
        <w:rPr>
          <w:rFonts w:hint="eastAsia" w:ascii="宋体" w:hAnsi="宋体" w:eastAsia="宋体" w:cs="宋体"/>
          <w:b/>
          <w:color w:val="auto"/>
          <w:spacing w:val="0"/>
          <w:kern w:val="0"/>
          <w:sz w:val="32"/>
          <w:szCs w:val="32"/>
          <w:highlight w:val="none"/>
        </w:rPr>
        <w:t>年</w:t>
      </w:r>
      <w:r>
        <w:rPr>
          <w:rFonts w:hint="eastAsia" w:ascii="宋体" w:hAnsi="宋体" w:cs="宋体"/>
          <w:b/>
          <w:color w:val="auto"/>
          <w:spacing w:val="0"/>
          <w:kern w:val="0"/>
          <w:sz w:val="32"/>
          <w:szCs w:val="32"/>
          <w:highlight w:val="none"/>
          <w:lang w:val="en-US" w:eastAsia="zh-CN"/>
        </w:rPr>
        <w:t>3</w:t>
      </w:r>
      <w:r>
        <w:rPr>
          <w:rFonts w:hint="eastAsia" w:ascii="宋体" w:hAnsi="宋体" w:eastAsia="宋体" w:cs="宋体"/>
          <w:b/>
          <w:color w:val="auto"/>
          <w:spacing w:val="142"/>
          <w:kern w:val="0"/>
          <w:sz w:val="32"/>
          <w:szCs w:val="32"/>
          <w:highlight w:val="none"/>
        </w:rPr>
        <w:t>月</w:t>
      </w:r>
    </w:p>
    <w:p w14:paraId="2FFD1C26">
      <w:pPr>
        <w:pageBreakBefore w:val="0"/>
        <w:widowControl w:val="0"/>
        <w:kinsoku/>
        <w:wordWrap/>
        <w:overflowPunct/>
        <w:topLinePunct w:val="0"/>
        <w:autoSpaceDE/>
        <w:autoSpaceDN/>
        <w:bidi w:val="0"/>
        <w:snapToGrid/>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z w:val="52"/>
          <w:szCs w:val="52"/>
          <w:highlight w:val="none"/>
        </w:rPr>
        <w:br w:type="page"/>
      </w:r>
      <w:r>
        <w:rPr>
          <w:rFonts w:hint="eastAsia" w:ascii="宋体" w:hAnsi="宋体" w:eastAsia="宋体" w:cs="宋体"/>
          <w:b/>
          <w:color w:val="auto"/>
          <w:sz w:val="36"/>
          <w:szCs w:val="36"/>
          <w:highlight w:val="none"/>
        </w:rPr>
        <w:t>目  录</w:t>
      </w:r>
    </w:p>
    <w:p w14:paraId="696DB576">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_Toc24708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_Toc24708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D37207F">
      <w:pPr>
        <w:pStyle w:val="28"/>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_Toc14053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_Toc14053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ABFD55A">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_Toc10483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_Toc10483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6E62B39">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_Toc15784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lang w:val="en-US" w:eastAsia="zh-CN" w:bidi="ar-SA"/>
        </w:rPr>
        <w:t>（二）供应商资格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_Toc15784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6DF96C8">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_Toc8088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_Toc8088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19AA5AC">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_Toc14220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（四）响应文件的</w:t>
      </w:r>
      <w:r>
        <w:rPr>
          <w:rFonts w:hint="eastAsia" w:ascii="宋体" w:hAnsi="宋体" w:eastAsia="宋体" w:cs="宋体"/>
          <w:sz w:val="24"/>
          <w:szCs w:val="24"/>
          <w:highlight w:val="none"/>
          <w:lang w:val="en-US" w:eastAsia="zh-CN"/>
        </w:rPr>
        <w:t>密封和</w:t>
      </w:r>
      <w:r>
        <w:rPr>
          <w:rFonts w:hint="eastAsia" w:ascii="宋体" w:hAnsi="宋体" w:eastAsia="宋体" w:cs="宋体"/>
          <w:sz w:val="24"/>
          <w:szCs w:val="24"/>
          <w:highlight w:val="none"/>
        </w:rPr>
        <w:t>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_Toc14220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0A892C8">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_Toc7318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（五）磋商程序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_Toc7318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5829F7D">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_Toc29753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（六）评审及异常情况处理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_Toc29753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20C316E">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_Toc28859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（七）报价响应及答疑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_Toc28859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72B5116">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_Toc27112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（八）合同的签订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_Toc27112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9F2F15A">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（九）澄清及变更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EA44957">
      <w:pPr>
        <w:pStyle w:val="32"/>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_Toc21500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_Toc21500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22678C1">
      <w:pPr>
        <w:pStyle w:val="32"/>
        <w:pageBreakBefore w:val="0"/>
        <w:widowControl w:val="0"/>
        <w:tabs>
          <w:tab w:val="right" w:leader="dot" w:pos="8844"/>
        </w:tabs>
        <w:kinsoku/>
        <w:wordWrap/>
        <w:overflowPunct/>
        <w:topLinePunct w:val="0"/>
        <w:autoSpaceDE/>
        <w:autoSpaceDN/>
        <w:bidi w:val="0"/>
        <w:snapToGrid/>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_Toc32137 </w:instrText>
      </w:r>
      <w:r>
        <w:rPr>
          <w:rFonts w:hint="eastAsia" w:ascii="宋体" w:hAnsi="宋体" w:eastAsia="宋体" w:cs="宋体"/>
          <w:sz w:val="24"/>
          <w:szCs w:val="24"/>
          <w:highlight w:val="none"/>
        </w:rPr>
        <w:fldChar w:fldCharType="separate"/>
      </w:r>
      <w:r>
        <w:rPr>
          <w:rFonts w:hint="eastAsia" w:ascii="宋体" w:hAnsi="宋体" w:eastAsia="宋体" w:cs="宋体"/>
          <w:bCs/>
          <w:i w:val="0"/>
          <w:iCs w:val="0"/>
          <w:sz w:val="24"/>
          <w:szCs w:val="24"/>
          <w:highlight w:val="none"/>
        </w:rPr>
        <w:t>二、采购合同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_Toc32137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A6B4A78">
      <w:pPr>
        <w:pStyle w:val="28"/>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_Toc6002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rPr>
        <w:t>三、</w:t>
      </w:r>
      <w:r>
        <w:rPr>
          <w:rFonts w:hint="eastAsia" w:ascii="宋体" w:hAnsi="宋体" w:eastAsia="宋体" w:cs="宋体"/>
          <w:bCs/>
          <w:sz w:val="24"/>
          <w:szCs w:val="24"/>
          <w:highlight w:val="none"/>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_Toc6002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DC598C0">
      <w:pPr>
        <w:pStyle w:val="28"/>
        <w:pageBreakBefore w:val="0"/>
        <w:widowControl w:val="0"/>
        <w:tabs>
          <w:tab w:val="right" w:leader="dot" w:pos="8844"/>
        </w:tabs>
        <w:kinsoku/>
        <w:wordWrap/>
        <w:overflowPunct/>
        <w:topLinePunct w:val="0"/>
        <w:autoSpaceDE/>
        <w:autoSpaceDN/>
        <w:bidi w:val="0"/>
        <w:snapToGrid/>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_Toc31290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四、评分标准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_Toc31290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1C1A624">
      <w:pPr>
        <w:pStyle w:val="28"/>
        <w:pageBreakBefore w:val="0"/>
        <w:widowControl w:val="0"/>
        <w:tabs>
          <w:tab w:val="right" w:leader="dot" w:pos="8844"/>
        </w:tabs>
        <w:kinsoku/>
        <w:wordWrap/>
        <w:overflowPunct/>
        <w:topLinePunct w:val="0"/>
        <w:autoSpaceDE/>
        <w:autoSpaceDN/>
        <w:bidi w:val="0"/>
        <w:snapToGrid/>
        <w:spacing w:line="360" w:lineRule="auto"/>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_Toc9163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五、响应文件格式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_Toc9163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E690999">
      <w:pPr>
        <w:pStyle w:val="32"/>
        <w:pageBreakBefore w:val="0"/>
        <w:widowControl w:val="0"/>
        <w:tabs>
          <w:tab w:val="right" w:leader="dot" w:pos="8844"/>
        </w:tabs>
        <w:kinsoku/>
        <w:wordWrap/>
        <w:overflowPunct/>
        <w:topLinePunct w:val="0"/>
        <w:autoSpaceDE/>
        <w:autoSpaceDN/>
        <w:bidi w:val="0"/>
        <w:snapToGrid/>
        <w:spacing w:line="360" w:lineRule="auto"/>
      </w:pPr>
    </w:p>
    <w:p w14:paraId="7F4DE9D2">
      <w:pPr>
        <w:bidi w:val="0"/>
        <w:jc w:val="center"/>
        <w:rPr>
          <w:rFonts w:hint="eastAsia" w:ascii="宋体" w:hAnsi="宋体" w:eastAsia="宋体" w:cs="宋体"/>
          <w:b w:val="0"/>
          <w:bCs/>
          <w:color w:val="auto"/>
          <w:sz w:val="44"/>
          <w:szCs w:val="44"/>
          <w:highlight w:val="none"/>
        </w:rPr>
      </w:pPr>
      <w:r>
        <w:rPr>
          <w:rFonts w:hint="eastAsia" w:ascii="宋体" w:hAnsi="宋体" w:eastAsia="宋体" w:cs="宋体"/>
          <w:color w:val="auto"/>
          <w:szCs w:val="24"/>
          <w:highlight w:val="none"/>
        </w:rPr>
        <w:fldChar w:fldCharType="end"/>
      </w:r>
      <w:bookmarkStart w:id="0" w:name="_Toc24708"/>
      <w:bookmarkStart w:id="1" w:name="_Toc216158623"/>
      <w:bookmarkStart w:id="2" w:name="_Toc363199264"/>
      <w:r>
        <w:rPr>
          <w:rFonts w:hint="eastAsia" w:ascii="宋体" w:hAnsi="宋体" w:eastAsia="宋体" w:cs="宋体"/>
          <w:color w:val="auto"/>
          <w:sz w:val="28"/>
          <w:szCs w:val="28"/>
          <w:highlight w:val="none"/>
        </w:rPr>
        <w:br w:type="page"/>
      </w:r>
      <w:bookmarkStart w:id="3" w:name="_Toc30186"/>
      <w:bookmarkStart w:id="4" w:name="OLE_LINK2"/>
      <w:r>
        <w:rPr>
          <w:rStyle w:val="52"/>
          <w:rFonts w:hint="eastAsia" w:ascii="微软雅黑" w:hAnsi="微软雅黑" w:eastAsia="微软雅黑" w:cs="微软雅黑"/>
          <w:b/>
          <w:bCs/>
          <w:sz w:val="45"/>
          <w:szCs w:val="45"/>
          <w:lang w:eastAsia="zh-CN"/>
        </w:rPr>
        <w:t>2026年采矿权实地勘测定界和超层越界开采动态监测</w:t>
      </w:r>
      <w:r>
        <w:rPr>
          <w:rStyle w:val="52"/>
          <w:rFonts w:hint="eastAsia" w:ascii="微软雅黑" w:hAnsi="微软雅黑" w:eastAsia="微软雅黑" w:cs="微软雅黑"/>
          <w:b/>
          <w:bCs/>
          <w:sz w:val="45"/>
          <w:szCs w:val="45"/>
        </w:rPr>
        <w:t>竞争性磋商公告</w:t>
      </w:r>
      <w:bookmarkEnd w:id="0"/>
      <w:bookmarkEnd w:id="3"/>
    </w:p>
    <w:p w14:paraId="563D508F">
      <w:pPr>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一、项目基本情况</w:t>
      </w:r>
    </w:p>
    <w:p w14:paraId="07FEC93A">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1、项目编号：</w:t>
      </w:r>
      <w:r>
        <w:rPr>
          <w:rFonts w:hint="eastAsia" w:ascii="宋体" w:hAnsi="宋体" w:eastAsia="宋体" w:cs="宋体"/>
          <w:color w:val="auto"/>
          <w:sz w:val="28"/>
          <w:szCs w:val="28"/>
          <w:highlight w:val="none"/>
          <w:lang w:eastAsia="zh-CN"/>
        </w:rPr>
        <w:t>AHFC202603002</w:t>
      </w:r>
    </w:p>
    <w:p w14:paraId="155439D6">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2、项目名称：</w:t>
      </w:r>
      <w:r>
        <w:rPr>
          <w:rFonts w:hint="eastAsia" w:ascii="宋体" w:hAnsi="宋体" w:eastAsia="宋体" w:cs="宋体"/>
          <w:color w:val="auto"/>
          <w:sz w:val="28"/>
          <w:szCs w:val="28"/>
          <w:highlight w:val="none"/>
          <w:lang w:eastAsia="zh-CN"/>
        </w:rPr>
        <w:t>2026年采矿权实地勘测定界和超层越界开采动态监测</w:t>
      </w:r>
    </w:p>
    <w:p w14:paraId="50FFEC98">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3、项目类型：服务类</w:t>
      </w:r>
    </w:p>
    <w:p w14:paraId="0D75B39D">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4、采购方式：竞争性磋商</w:t>
      </w:r>
    </w:p>
    <w:p w14:paraId="23C5FE04">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5、预算金额：</w:t>
      </w:r>
      <w:r>
        <w:rPr>
          <w:rFonts w:hint="eastAsia" w:ascii="宋体" w:hAnsi="宋体" w:eastAsia="宋体" w:cs="宋体"/>
          <w:color w:val="auto"/>
          <w:sz w:val="28"/>
          <w:szCs w:val="28"/>
          <w:highlight w:val="none"/>
          <w:u w:val="single"/>
          <w:lang w:val="en-US" w:eastAsia="zh-CN"/>
        </w:rPr>
        <w:t>27.00</w:t>
      </w:r>
      <w:r>
        <w:rPr>
          <w:rFonts w:hint="eastAsia" w:ascii="宋体" w:hAnsi="宋体" w:eastAsia="宋体" w:cs="宋体"/>
          <w:color w:val="auto"/>
          <w:sz w:val="28"/>
          <w:szCs w:val="28"/>
          <w:highlight w:val="none"/>
          <w:u w:val="none"/>
          <w:lang w:val="en-US" w:eastAsia="zh-CN"/>
        </w:rPr>
        <w:t>万元</w:t>
      </w:r>
    </w:p>
    <w:p w14:paraId="76850275">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6、最高限价：</w:t>
      </w:r>
      <w:r>
        <w:rPr>
          <w:rFonts w:hint="eastAsia" w:ascii="宋体" w:hAnsi="宋体" w:eastAsia="宋体" w:cs="宋体"/>
          <w:color w:val="auto"/>
          <w:sz w:val="28"/>
          <w:szCs w:val="28"/>
          <w:highlight w:val="none"/>
          <w:u w:val="single"/>
          <w:lang w:val="en-US" w:eastAsia="zh-CN"/>
        </w:rPr>
        <w:t>27.00</w:t>
      </w:r>
      <w:r>
        <w:rPr>
          <w:rFonts w:hint="eastAsia" w:ascii="宋体" w:hAnsi="宋体" w:eastAsia="宋体" w:cs="宋体"/>
          <w:color w:val="auto"/>
          <w:sz w:val="28"/>
          <w:szCs w:val="28"/>
          <w:highlight w:val="none"/>
          <w:u w:val="none"/>
          <w:lang w:val="en-US" w:eastAsia="zh-CN"/>
        </w:rPr>
        <w:t>万元</w:t>
      </w:r>
    </w:p>
    <w:p w14:paraId="23BC58AE">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7、采购需求：</w:t>
      </w:r>
      <w:r>
        <w:rPr>
          <w:rFonts w:hint="eastAsia" w:ascii="宋体" w:hAnsi="宋体" w:eastAsia="宋体" w:cs="宋体"/>
          <w:color w:val="auto"/>
          <w:sz w:val="28"/>
          <w:szCs w:val="28"/>
          <w:highlight w:val="none"/>
          <w:lang w:eastAsia="zh-CN"/>
        </w:rPr>
        <w:t>2026年采矿权实地勘测定界和超层越界开采动态监测</w:t>
      </w:r>
      <w:r>
        <w:rPr>
          <w:rFonts w:hint="eastAsia" w:ascii="宋体" w:hAnsi="宋体" w:eastAsia="宋体" w:cs="宋体"/>
          <w:color w:val="auto"/>
          <w:sz w:val="28"/>
          <w:szCs w:val="28"/>
          <w:highlight w:val="none"/>
          <w:lang w:val="en-US"/>
        </w:rPr>
        <w:t>，</w:t>
      </w:r>
      <w:r>
        <w:rPr>
          <w:rFonts w:hint="eastAsia" w:ascii="宋体" w:hAnsi="宋体" w:cs="宋体"/>
          <w:color w:val="auto"/>
          <w:sz w:val="28"/>
          <w:szCs w:val="28"/>
          <w:highlight w:val="none"/>
          <w:lang w:val="en-US" w:eastAsia="zh-CN"/>
        </w:rPr>
        <w:t>委</w:t>
      </w:r>
      <w:r>
        <w:rPr>
          <w:rFonts w:hint="eastAsia" w:ascii="宋体" w:hAnsi="宋体" w:eastAsia="宋体" w:cs="宋体"/>
          <w:color w:val="auto"/>
          <w:sz w:val="28"/>
          <w:szCs w:val="28"/>
          <w:highlight w:val="none"/>
          <w:lang w:val="en-US"/>
        </w:rPr>
        <w:t>托专业技术队伍对采矿权实地勘测定界</w:t>
      </w:r>
      <w:r>
        <w:rPr>
          <w:rFonts w:hint="eastAsia" w:ascii="宋体" w:hAnsi="宋体" w:cs="宋体"/>
          <w:color w:val="auto"/>
          <w:sz w:val="28"/>
          <w:szCs w:val="28"/>
          <w:highlight w:val="none"/>
          <w:lang w:val="en-US" w:eastAsia="zh-CN"/>
        </w:rPr>
        <w:t>和采矿权超层越界开采动态监测及长期停产、基建采矿权巡查；</w:t>
      </w:r>
      <w:r>
        <w:rPr>
          <w:rFonts w:hint="eastAsia" w:ascii="宋体" w:hAnsi="宋体" w:eastAsia="宋体" w:cs="宋体"/>
          <w:color w:val="auto"/>
          <w:sz w:val="28"/>
          <w:szCs w:val="28"/>
          <w:highlight w:val="none"/>
          <w:lang w:val="en-US" w:eastAsia="zh-CN"/>
        </w:rPr>
        <w:t>具体详见采购需求。</w:t>
      </w:r>
    </w:p>
    <w:p w14:paraId="2A753D7D">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8、合同履行期限：</w:t>
      </w:r>
      <w:r>
        <w:rPr>
          <w:rFonts w:hint="eastAsia" w:ascii="宋体" w:hAnsi="宋体" w:eastAsia="宋体" w:cs="宋体"/>
          <w:color w:val="auto"/>
          <w:sz w:val="28"/>
          <w:szCs w:val="28"/>
          <w:highlight w:val="none"/>
          <w:lang w:eastAsia="zh-CN"/>
        </w:rPr>
        <w:t>合同签订后</w:t>
      </w: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lang w:eastAsia="zh-CN"/>
        </w:rPr>
        <w:t>日历天内完成。</w:t>
      </w:r>
    </w:p>
    <w:p w14:paraId="46B0DA24">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9、是否接受联合体：本项目不接受联合体。</w:t>
      </w:r>
    </w:p>
    <w:p w14:paraId="147E32EC">
      <w:pPr>
        <w:bidi w:val="0"/>
        <w:rPr>
          <w:rFonts w:hint="eastAsia" w:ascii="黑体" w:hAnsi="黑体" w:eastAsia="黑体" w:cs="黑体"/>
          <w:sz w:val="28"/>
          <w:szCs w:val="28"/>
          <w:lang w:val="en-US" w:eastAsia="zh-CN"/>
        </w:rPr>
      </w:pPr>
      <w:bookmarkStart w:id="5" w:name="_Toc35393799"/>
      <w:bookmarkStart w:id="6" w:name="_Toc8072"/>
      <w:bookmarkStart w:id="7" w:name="_Toc28359090"/>
      <w:bookmarkStart w:id="8" w:name="_Toc35393630"/>
      <w:bookmarkStart w:id="9" w:name="_Toc28359013"/>
      <w:bookmarkStart w:id="10" w:name="_Toc28359091"/>
      <w:bookmarkStart w:id="11" w:name="_Toc28359014"/>
      <w:r>
        <w:rPr>
          <w:rFonts w:hint="eastAsia" w:ascii="黑体" w:hAnsi="黑体" w:eastAsia="黑体" w:cs="黑体"/>
          <w:sz w:val="28"/>
          <w:szCs w:val="28"/>
          <w:lang w:val="en-US" w:eastAsia="zh-CN"/>
        </w:rPr>
        <w:t>二、申请人的资格要求</w:t>
      </w:r>
      <w:bookmarkEnd w:id="5"/>
      <w:bookmarkEnd w:id="6"/>
      <w:bookmarkEnd w:id="7"/>
      <w:bookmarkEnd w:id="8"/>
      <w:bookmarkEnd w:id="9"/>
    </w:p>
    <w:p w14:paraId="1114A6BD">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353881CB">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2、本项目的特定资格要求：</w:t>
      </w:r>
      <w:bookmarkStart w:id="12" w:name="_Toc35393631"/>
      <w:bookmarkStart w:id="13" w:name="_Toc35393800"/>
      <w:bookmarkStart w:id="14" w:name="_Toc32583"/>
    </w:p>
    <w:p w14:paraId="6C7C5EBB">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（1）本项目的特定资格要求：具有涉密地质资料借阅复制证书；</w:t>
      </w:r>
    </w:p>
    <w:p w14:paraId="16716F4E">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（2）供应商应具有地质勘查甲级资质、测绘乙级及以上资质，同时具有采矿权超层越界开采动态监测的工作经验。</w:t>
      </w:r>
    </w:p>
    <w:p w14:paraId="2936B309">
      <w:pPr>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三、获取采购文件</w:t>
      </w:r>
      <w:bookmarkEnd w:id="10"/>
      <w:bookmarkEnd w:id="11"/>
      <w:bookmarkEnd w:id="12"/>
      <w:bookmarkEnd w:id="13"/>
      <w:bookmarkEnd w:id="14"/>
    </w:p>
    <w:p w14:paraId="0AEBD06F">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lang w:val="en-US" w:eastAsia="zh-CN"/>
        </w:rPr>
      </w:pPr>
      <w:bookmarkStart w:id="15" w:name="_Toc28359092"/>
      <w:bookmarkStart w:id="16" w:name="_Toc28359015"/>
      <w:bookmarkStart w:id="17" w:name="_Toc35393632"/>
      <w:bookmarkStart w:id="18" w:name="_Toc35393801"/>
      <w:bookmarkStart w:id="19" w:name="_Toc26077"/>
      <w:r>
        <w:rPr>
          <w:rFonts w:hint="eastAsia" w:ascii="宋体" w:hAnsi="宋体" w:eastAsia="宋体" w:cs="宋体"/>
          <w:color w:val="auto"/>
          <w:sz w:val="28"/>
          <w:szCs w:val="28"/>
          <w:highlight w:val="none"/>
          <w:lang w:val="en-US" w:eastAsia="zh-CN"/>
        </w:rPr>
        <w:t>1、获取时间</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自公告发布之日起至响应文件提交截止时间止</w:t>
      </w:r>
      <w:r>
        <w:rPr>
          <w:rFonts w:hint="eastAsia" w:ascii="宋体" w:hAnsi="宋体" w:cs="宋体"/>
          <w:color w:val="auto"/>
          <w:sz w:val="28"/>
          <w:szCs w:val="28"/>
          <w:highlight w:val="none"/>
          <w:lang w:val="en-US" w:eastAsia="zh-CN"/>
        </w:rPr>
        <w:t>；</w:t>
      </w:r>
    </w:p>
    <w:p w14:paraId="405D65F8">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2、获取方式</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凡有意参加本项目的供应商持授权委托书（原件）、委托人身份证、营业执照复印件（上述资料加盖企业公章并装订成册）到安徽方成项目管理有限公司（六安经济技术开发区鼎诚东方广场2栋2层203室铺）联系代理机构线上获取磋商文件。</w:t>
      </w:r>
    </w:p>
    <w:p w14:paraId="5EAE1F96">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3、售价：零元</w:t>
      </w:r>
    </w:p>
    <w:p w14:paraId="7CF3A97B">
      <w:pPr>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四、响应文件</w:t>
      </w:r>
      <w:bookmarkEnd w:id="15"/>
      <w:bookmarkEnd w:id="16"/>
      <w:bookmarkEnd w:id="17"/>
      <w:bookmarkEnd w:id="18"/>
      <w:r>
        <w:rPr>
          <w:rFonts w:hint="eastAsia" w:ascii="黑体" w:hAnsi="黑体" w:eastAsia="黑体" w:cs="黑体"/>
          <w:sz w:val="28"/>
          <w:szCs w:val="28"/>
          <w:lang w:val="en-US" w:eastAsia="zh-CN"/>
        </w:rPr>
        <w:t>提交</w:t>
      </w:r>
      <w:bookmarkEnd w:id="19"/>
    </w:p>
    <w:p w14:paraId="17B4AED6">
      <w:pPr>
        <w:pageBreakBefore w:val="0"/>
        <w:kinsoku/>
        <w:overflowPunct/>
        <w:topLinePunct w:val="0"/>
        <w:autoSpaceDE/>
        <w:autoSpaceDN/>
        <w:bidi w:val="0"/>
        <w:snapToGrid/>
        <w:spacing w:line="6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1、截止时间：</w:t>
      </w:r>
      <w:r>
        <w:rPr>
          <w:rFonts w:hint="eastAsia" w:ascii="宋体" w:hAnsi="宋体" w:eastAsia="宋体" w:cs="宋体"/>
          <w:bCs/>
          <w:color w:val="auto"/>
          <w:sz w:val="28"/>
          <w:szCs w:val="28"/>
          <w:highlight w:val="none"/>
          <w:u w:val="single"/>
          <w:lang w:val="en-US" w:eastAsia="zh-CN"/>
        </w:rPr>
        <w:t>2026</w:t>
      </w:r>
      <w:r>
        <w:rPr>
          <w:rFonts w:hint="eastAsia" w:ascii="宋体" w:hAnsi="宋体" w:eastAsia="宋体" w:cs="宋体"/>
          <w:bCs/>
          <w:color w:val="auto"/>
          <w:sz w:val="28"/>
          <w:szCs w:val="28"/>
          <w:highlight w:val="none"/>
        </w:rPr>
        <w:t>年</w:t>
      </w:r>
      <w:r>
        <w:rPr>
          <w:rFonts w:hint="eastAsia" w:ascii="宋体" w:hAnsi="宋体" w:cs="宋体"/>
          <w:bCs/>
          <w:color w:val="auto"/>
          <w:sz w:val="28"/>
          <w:szCs w:val="28"/>
          <w:highlight w:val="none"/>
          <w:u w:val="single"/>
          <w:lang w:val="en-US" w:eastAsia="zh-CN"/>
        </w:rPr>
        <w:t>3</w:t>
      </w:r>
      <w:r>
        <w:rPr>
          <w:rFonts w:hint="eastAsia" w:ascii="宋体" w:hAnsi="宋体" w:eastAsia="宋体" w:cs="宋体"/>
          <w:bCs/>
          <w:color w:val="auto"/>
          <w:sz w:val="28"/>
          <w:szCs w:val="28"/>
          <w:highlight w:val="none"/>
        </w:rPr>
        <w:t>月</w:t>
      </w:r>
      <w:r>
        <w:rPr>
          <w:rFonts w:hint="eastAsia" w:ascii="宋体" w:hAnsi="宋体" w:cs="宋体"/>
          <w:bCs/>
          <w:color w:val="auto"/>
          <w:sz w:val="28"/>
          <w:szCs w:val="28"/>
          <w:highlight w:val="none"/>
          <w:u w:val="single"/>
          <w:lang w:val="en-US" w:eastAsia="zh-CN"/>
        </w:rPr>
        <w:t>26</w:t>
      </w:r>
      <w:r>
        <w:rPr>
          <w:rFonts w:hint="eastAsia" w:ascii="宋体" w:hAnsi="宋体" w:eastAsia="宋体" w:cs="宋体"/>
          <w:bCs/>
          <w:color w:val="auto"/>
          <w:sz w:val="28"/>
          <w:szCs w:val="28"/>
          <w:highlight w:val="none"/>
        </w:rPr>
        <w:t>日</w:t>
      </w:r>
      <w:r>
        <w:rPr>
          <w:rFonts w:hint="eastAsia" w:ascii="宋体" w:hAnsi="宋体" w:cs="宋体"/>
          <w:bCs/>
          <w:color w:val="auto"/>
          <w:sz w:val="28"/>
          <w:szCs w:val="28"/>
          <w:highlight w:val="none"/>
          <w:u w:val="single"/>
          <w:lang w:val="en-US" w:eastAsia="zh-CN"/>
        </w:rPr>
        <w:t>9</w:t>
      </w:r>
      <w:r>
        <w:rPr>
          <w:rFonts w:hint="eastAsia" w:ascii="宋体" w:hAnsi="宋体" w:eastAsia="宋体" w:cs="宋体"/>
          <w:bCs/>
          <w:color w:val="auto"/>
          <w:sz w:val="28"/>
          <w:szCs w:val="28"/>
          <w:highlight w:val="none"/>
        </w:rPr>
        <w:t>点</w:t>
      </w:r>
      <w:r>
        <w:rPr>
          <w:rFonts w:hint="eastAsia" w:ascii="宋体" w:hAnsi="宋体" w:eastAsia="宋体" w:cs="宋体"/>
          <w:bCs/>
          <w:color w:val="auto"/>
          <w:sz w:val="28"/>
          <w:szCs w:val="28"/>
          <w:highlight w:val="none"/>
          <w:u w:val="single"/>
          <w:lang w:val="en-US" w:eastAsia="zh-CN"/>
        </w:rPr>
        <w:t>00</w:t>
      </w:r>
      <w:r>
        <w:rPr>
          <w:rFonts w:hint="eastAsia" w:ascii="宋体" w:hAnsi="宋体" w:eastAsia="宋体" w:cs="宋体"/>
          <w:bCs/>
          <w:color w:val="auto"/>
          <w:sz w:val="28"/>
          <w:szCs w:val="28"/>
          <w:highlight w:val="none"/>
        </w:rPr>
        <w:t>分（北京时间）</w:t>
      </w:r>
    </w:p>
    <w:p w14:paraId="27F896A7">
      <w:pPr>
        <w:pageBreakBefore w:val="0"/>
        <w:widowControl/>
        <w:kinsoku/>
        <w:wordWrap w:val="0"/>
        <w:overflowPunct/>
        <w:topLinePunct w:val="0"/>
        <w:autoSpaceDE/>
        <w:autoSpaceDN/>
        <w:bidi w:val="0"/>
        <w:snapToGrid/>
        <w:spacing w:line="600" w:lineRule="exact"/>
        <w:ind w:firstLine="560" w:firstLineChars="200"/>
        <w:jc w:val="left"/>
        <w:rPr>
          <w:rFonts w:hint="eastAsia" w:ascii="宋体" w:hAnsi="宋体" w:eastAsia="宋体" w:cs="宋体"/>
          <w:color w:val="auto"/>
          <w:kern w:val="0"/>
          <w:sz w:val="28"/>
          <w:szCs w:val="28"/>
          <w:highlight w:val="none"/>
          <w:shd w:val="clear" w:color="auto" w:fill="FFFFFF"/>
          <w:lang w:bidi="ar"/>
        </w:rPr>
      </w:pPr>
      <w:r>
        <w:rPr>
          <w:rFonts w:hint="eastAsia" w:ascii="宋体" w:hAnsi="宋体" w:eastAsia="宋体" w:cs="宋体"/>
          <w:color w:val="auto"/>
          <w:kern w:val="0"/>
          <w:sz w:val="28"/>
          <w:szCs w:val="28"/>
          <w:highlight w:val="none"/>
          <w:shd w:val="clear" w:color="auto" w:fill="FFFFFF"/>
          <w:lang w:bidi="ar"/>
        </w:rPr>
        <w:t>2、地点：六安经济技术开发区鼎诚东方广场2栋2层203室铺</w:t>
      </w:r>
    </w:p>
    <w:p w14:paraId="19455FA8">
      <w:pPr>
        <w:pageBreakBefore w:val="0"/>
        <w:widowControl/>
        <w:kinsoku/>
        <w:wordWrap w:val="0"/>
        <w:overflowPunct/>
        <w:topLinePunct w:val="0"/>
        <w:autoSpaceDE/>
        <w:autoSpaceDN/>
        <w:bidi w:val="0"/>
        <w:snapToGrid/>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shd w:val="clear" w:color="auto" w:fill="FFFFFF"/>
          <w:lang w:bidi="ar"/>
        </w:rPr>
        <w:t>3、响应文件提交方式：响应文件应在提交截止时间前现场递交纸质响应文件，否则不予接收。</w:t>
      </w:r>
    </w:p>
    <w:p w14:paraId="4B06E658">
      <w:pPr>
        <w:bidi w:val="0"/>
        <w:rPr>
          <w:rFonts w:hint="eastAsia" w:ascii="黑体" w:hAnsi="黑体" w:eastAsia="黑体" w:cs="黑体"/>
          <w:sz w:val="28"/>
          <w:szCs w:val="28"/>
          <w:lang w:val="en-US" w:eastAsia="zh-CN"/>
        </w:rPr>
      </w:pPr>
      <w:bookmarkStart w:id="20" w:name="_Toc11900"/>
      <w:bookmarkStart w:id="21" w:name="_Toc35393802"/>
      <w:bookmarkStart w:id="22" w:name="_Toc28359016"/>
      <w:bookmarkStart w:id="23" w:name="_Toc35393633"/>
      <w:bookmarkStart w:id="24" w:name="_Toc28359093"/>
      <w:r>
        <w:rPr>
          <w:rFonts w:hint="eastAsia" w:ascii="黑体" w:hAnsi="黑体" w:eastAsia="黑体" w:cs="黑体"/>
          <w:sz w:val="28"/>
          <w:szCs w:val="28"/>
          <w:lang w:val="en-US" w:eastAsia="zh-CN"/>
        </w:rPr>
        <w:t>五、</w:t>
      </w:r>
      <w:bookmarkEnd w:id="20"/>
      <w:bookmarkEnd w:id="21"/>
      <w:bookmarkEnd w:id="22"/>
      <w:bookmarkEnd w:id="23"/>
      <w:bookmarkEnd w:id="24"/>
      <w:bookmarkStart w:id="25" w:name="_Toc6439"/>
      <w:bookmarkStart w:id="26" w:name="_Toc35393634"/>
      <w:bookmarkStart w:id="27" w:name="_Toc28359017"/>
      <w:bookmarkStart w:id="28" w:name="_Toc35393803"/>
      <w:bookmarkStart w:id="29" w:name="_Toc28359094"/>
      <w:r>
        <w:rPr>
          <w:rFonts w:hint="eastAsia" w:ascii="黑体" w:hAnsi="黑体" w:eastAsia="黑体" w:cs="黑体"/>
          <w:sz w:val="28"/>
          <w:szCs w:val="28"/>
          <w:lang w:val="en-US" w:eastAsia="zh-CN"/>
        </w:rPr>
        <w:t>公告期限</w:t>
      </w:r>
      <w:bookmarkEnd w:id="25"/>
      <w:bookmarkEnd w:id="26"/>
      <w:bookmarkEnd w:id="27"/>
      <w:bookmarkEnd w:id="28"/>
      <w:bookmarkEnd w:id="29"/>
    </w:p>
    <w:p w14:paraId="28BDD12A">
      <w:pPr>
        <w:pageBreakBefore w:val="0"/>
        <w:kinsoku/>
        <w:overflowPunct/>
        <w:topLinePunct w:val="0"/>
        <w:autoSpaceDE/>
        <w:autoSpaceDN/>
        <w:bidi w:val="0"/>
        <w:snapToGrid/>
        <w:spacing w:line="6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自本公告发布之日起</w:t>
      </w: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个工作日。</w:t>
      </w:r>
    </w:p>
    <w:p w14:paraId="0EBCEF97">
      <w:pPr>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w:t>
      </w:r>
      <w:bookmarkStart w:id="30" w:name="_Toc35393804"/>
      <w:bookmarkStart w:id="31" w:name="_Toc35393635"/>
      <w:r>
        <w:rPr>
          <w:rFonts w:hint="eastAsia" w:ascii="黑体" w:hAnsi="黑体" w:eastAsia="黑体" w:cs="黑体"/>
          <w:sz w:val="28"/>
          <w:szCs w:val="28"/>
          <w:lang w:val="en-US" w:eastAsia="zh-CN"/>
        </w:rPr>
        <w:t>其他事宜</w:t>
      </w:r>
      <w:bookmarkEnd w:id="30"/>
      <w:bookmarkEnd w:id="31"/>
      <w:bookmarkStart w:id="32" w:name="_Toc35393636"/>
      <w:bookmarkStart w:id="33" w:name="_Toc28359018"/>
      <w:bookmarkStart w:id="34" w:name="_Toc28359095"/>
      <w:bookmarkStart w:id="35" w:name="_Toc35393805"/>
    </w:p>
    <w:p w14:paraId="5E5F942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0"/>
          <w:sz w:val="28"/>
          <w:szCs w:val="28"/>
          <w:highlight w:val="none"/>
          <w:lang w:val="en-US" w:eastAsia="zh-CN"/>
        </w:rPr>
      </w:pPr>
      <w:bookmarkStart w:id="36" w:name="_Toc7807"/>
      <w:bookmarkStart w:id="37" w:name="_Toc21256"/>
      <w:r>
        <w:rPr>
          <w:rFonts w:hint="eastAsia" w:ascii="宋体" w:hAnsi="宋体" w:eastAsia="宋体" w:cs="宋体"/>
          <w:color w:val="auto"/>
          <w:kern w:val="0"/>
          <w:sz w:val="28"/>
          <w:szCs w:val="28"/>
          <w:highlight w:val="none"/>
          <w:lang w:val="en-US" w:eastAsia="zh-CN"/>
        </w:rPr>
        <w:t>（1）本项目在采购过程中，任何异议投诉等事项均由采购人负责处理。</w:t>
      </w:r>
    </w:p>
    <w:p w14:paraId="1D17C05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（2）响应保证金：本项目无需提供。</w:t>
      </w:r>
    </w:p>
    <w:p w14:paraId="3DF05E12">
      <w:pPr>
        <w:bidi w:val="0"/>
        <w:rPr>
          <w:rFonts w:hint="eastAsia"/>
        </w:rPr>
      </w:pPr>
      <w:r>
        <w:rPr>
          <w:rFonts w:hint="eastAsia" w:ascii="黑体" w:hAnsi="黑体" w:eastAsia="黑体" w:cs="黑体"/>
          <w:sz w:val="28"/>
          <w:szCs w:val="28"/>
          <w:lang w:val="en-US" w:eastAsia="zh-CN"/>
        </w:rPr>
        <w:t>七</w:t>
      </w:r>
      <w:r>
        <w:rPr>
          <w:rFonts w:hint="eastAsia" w:ascii="黑体" w:hAnsi="黑体" w:eastAsia="黑体" w:cs="黑体"/>
          <w:sz w:val="28"/>
          <w:szCs w:val="28"/>
        </w:rPr>
        <w:t>、凡对本次采购提出询问，请按以下方式联系。</w:t>
      </w:r>
      <w:bookmarkEnd w:id="32"/>
      <w:bookmarkEnd w:id="33"/>
      <w:bookmarkEnd w:id="34"/>
      <w:bookmarkEnd w:id="35"/>
      <w:bookmarkEnd w:id="36"/>
      <w:bookmarkEnd w:id="37"/>
    </w:p>
    <w:p w14:paraId="369248E4">
      <w:pPr>
        <w:bidi w:val="0"/>
        <w:ind w:firstLine="560" w:firstLineChars="200"/>
        <w:rPr>
          <w:rFonts w:hint="eastAsia"/>
        </w:rPr>
      </w:pPr>
      <w:bookmarkStart w:id="38" w:name="_Toc28359096"/>
      <w:bookmarkStart w:id="39" w:name="_Toc35393637"/>
      <w:bookmarkStart w:id="40" w:name="_Toc12167"/>
      <w:bookmarkStart w:id="41" w:name="_Toc35393806"/>
      <w:bookmarkStart w:id="42" w:name="_Toc28359019"/>
      <w:bookmarkStart w:id="43" w:name="_Toc17822"/>
      <w:r>
        <w:rPr>
          <w:rFonts w:hint="eastAsia" w:ascii="宋体" w:hAnsi="宋体" w:eastAsia="宋体" w:cs="宋体"/>
          <w:sz w:val="28"/>
          <w:szCs w:val="28"/>
        </w:rPr>
        <w:t>1、采购人信息</w:t>
      </w:r>
      <w:bookmarkEnd w:id="38"/>
      <w:bookmarkEnd w:id="39"/>
      <w:bookmarkEnd w:id="40"/>
      <w:bookmarkEnd w:id="41"/>
      <w:bookmarkEnd w:id="42"/>
      <w:bookmarkEnd w:id="43"/>
    </w:p>
    <w:p w14:paraId="679FA5C2">
      <w:pPr>
        <w:pageBreakBefore w:val="0"/>
        <w:kinsoku/>
        <w:overflowPunct/>
        <w:topLinePunct w:val="0"/>
        <w:autoSpaceDE/>
        <w:autoSpaceDN/>
        <w:bidi w:val="0"/>
        <w:snapToGrid/>
        <w:spacing w:line="600" w:lineRule="exact"/>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名    称：</w:t>
      </w:r>
      <w:r>
        <w:rPr>
          <w:rFonts w:hint="eastAsia" w:ascii="宋体" w:hAnsi="宋体" w:eastAsia="宋体" w:cs="宋体"/>
          <w:bCs/>
          <w:color w:val="auto"/>
          <w:sz w:val="28"/>
          <w:szCs w:val="28"/>
          <w:highlight w:val="none"/>
          <w:lang w:eastAsia="zh-CN"/>
        </w:rPr>
        <w:t>六安市自然资源和规划局</w:t>
      </w:r>
    </w:p>
    <w:p w14:paraId="1FC367C6">
      <w:pPr>
        <w:pageBreakBefore w:val="0"/>
        <w:kinsoku/>
        <w:overflowPunct/>
        <w:topLinePunct w:val="0"/>
        <w:autoSpaceDE/>
        <w:autoSpaceDN/>
        <w:bidi w:val="0"/>
        <w:snapToGrid/>
        <w:spacing w:line="600" w:lineRule="exact"/>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地    址：</w:t>
      </w:r>
      <w:r>
        <w:rPr>
          <w:rFonts w:hint="eastAsia" w:ascii="宋体" w:hAnsi="宋体" w:eastAsia="宋体" w:cs="宋体"/>
          <w:bCs/>
          <w:color w:val="auto"/>
          <w:sz w:val="28"/>
          <w:szCs w:val="28"/>
          <w:highlight w:val="none"/>
          <w:lang w:eastAsia="zh-CN"/>
        </w:rPr>
        <w:t>六安市佛子岭中路101号</w:t>
      </w:r>
    </w:p>
    <w:p w14:paraId="1C0C4565">
      <w:pPr>
        <w:pageBreakBefore w:val="0"/>
        <w:kinsoku/>
        <w:overflowPunct/>
        <w:topLinePunct w:val="0"/>
        <w:autoSpaceDE/>
        <w:autoSpaceDN/>
        <w:bidi w:val="0"/>
        <w:snapToGrid/>
        <w:spacing w:line="600" w:lineRule="exact"/>
        <w:ind w:firstLine="560" w:firstLineChars="20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联系方式：</w:t>
      </w:r>
      <w:bookmarkStart w:id="44" w:name="_Toc28359097"/>
      <w:bookmarkStart w:id="45" w:name="_Toc35393807"/>
      <w:bookmarkStart w:id="46" w:name="_Toc28359020"/>
      <w:bookmarkStart w:id="47" w:name="_Toc35393638"/>
      <w:r>
        <w:rPr>
          <w:rFonts w:hint="eastAsia" w:ascii="宋体" w:hAnsi="宋体" w:eastAsia="宋体" w:cs="宋体"/>
          <w:bCs/>
          <w:color w:val="auto"/>
          <w:sz w:val="28"/>
          <w:szCs w:val="28"/>
          <w:highlight w:val="none"/>
          <w:lang w:val="en-US" w:eastAsia="zh-CN"/>
        </w:rPr>
        <w:t>0564-3</w:t>
      </w:r>
      <w:r>
        <w:rPr>
          <w:rFonts w:hint="eastAsia" w:ascii="宋体" w:hAnsi="宋体" w:cs="宋体"/>
          <w:bCs/>
          <w:color w:val="auto"/>
          <w:sz w:val="28"/>
          <w:szCs w:val="28"/>
          <w:highlight w:val="none"/>
          <w:lang w:val="en-US" w:eastAsia="zh-CN"/>
        </w:rPr>
        <w:t>908912</w:t>
      </w:r>
    </w:p>
    <w:p w14:paraId="00465B46">
      <w:pPr>
        <w:pageBreakBefore w:val="0"/>
        <w:numPr>
          <w:ilvl w:val="0"/>
          <w:numId w:val="3"/>
        </w:numPr>
        <w:kinsoku/>
        <w:overflowPunct/>
        <w:topLinePunct w:val="0"/>
        <w:autoSpaceDE/>
        <w:autoSpaceDN/>
        <w:bidi w:val="0"/>
        <w:snapToGrid/>
        <w:spacing w:line="6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采购代理机构信息</w:t>
      </w:r>
      <w:bookmarkEnd w:id="44"/>
      <w:bookmarkEnd w:id="45"/>
      <w:bookmarkEnd w:id="46"/>
      <w:bookmarkEnd w:id="47"/>
      <w:bookmarkStart w:id="48" w:name="_Toc28359098"/>
      <w:bookmarkStart w:id="49" w:name="_Toc28359021"/>
      <w:bookmarkStart w:id="50" w:name="_Toc35393639"/>
      <w:bookmarkStart w:id="51" w:name="_Toc35393808"/>
    </w:p>
    <w:p w14:paraId="0C1E8CD6">
      <w:pPr>
        <w:pageBreakBefore w:val="0"/>
        <w:kinsoku/>
        <w:overflowPunct/>
        <w:topLinePunct w:val="0"/>
        <w:autoSpaceDE/>
        <w:autoSpaceDN/>
        <w:bidi w:val="0"/>
        <w:snapToGrid/>
        <w:spacing w:line="600" w:lineRule="exact"/>
        <w:ind w:left="56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名    称：</w:t>
      </w:r>
      <w:r>
        <w:rPr>
          <w:rFonts w:hint="eastAsia" w:ascii="宋体" w:hAnsi="宋体" w:eastAsia="宋体" w:cs="宋体"/>
          <w:bCs/>
          <w:color w:val="auto"/>
          <w:sz w:val="28"/>
          <w:szCs w:val="28"/>
          <w:highlight w:val="none"/>
          <w:lang w:eastAsia="zh-CN"/>
        </w:rPr>
        <w:t>安徽方成项目管理有限公司</w:t>
      </w:r>
    </w:p>
    <w:p w14:paraId="39B95BC2">
      <w:pPr>
        <w:pageBreakBefore w:val="0"/>
        <w:kinsoku/>
        <w:overflowPunct/>
        <w:topLinePunct w:val="0"/>
        <w:autoSpaceDE/>
        <w:autoSpaceDN/>
        <w:bidi w:val="0"/>
        <w:snapToGrid/>
        <w:spacing w:line="600" w:lineRule="exact"/>
        <w:ind w:left="56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地  址：</w:t>
      </w:r>
      <w:r>
        <w:rPr>
          <w:rFonts w:hint="eastAsia" w:ascii="宋体" w:hAnsi="宋体" w:eastAsia="宋体" w:cs="宋体"/>
          <w:bCs/>
          <w:color w:val="auto"/>
          <w:sz w:val="28"/>
          <w:szCs w:val="28"/>
          <w:highlight w:val="none"/>
          <w:lang w:eastAsia="zh-CN"/>
        </w:rPr>
        <w:t>六安经济技术开发区鼎诚东方广场2栋2层203室铺</w:t>
      </w:r>
    </w:p>
    <w:p w14:paraId="741249AD">
      <w:pPr>
        <w:pageBreakBefore w:val="0"/>
        <w:kinsoku/>
        <w:overflowPunct/>
        <w:topLinePunct w:val="0"/>
        <w:autoSpaceDE/>
        <w:autoSpaceDN/>
        <w:bidi w:val="0"/>
        <w:snapToGrid/>
        <w:spacing w:line="600" w:lineRule="exact"/>
        <w:ind w:left="56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联系方式：</w:t>
      </w:r>
      <w:r>
        <w:rPr>
          <w:rFonts w:hint="eastAsia" w:ascii="宋体" w:hAnsi="宋体" w:eastAsia="宋体" w:cs="宋体"/>
          <w:bCs/>
          <w:color w:val="auto"/>
          <w:sz w:val="28"/>
          <w:szCs w:val="28"/>
          <w:highlight w:val="none"/>
          <w:lang w:eastAsia="zh-CN"/>
        </w:rPr>
        <w:t>0564-3389003</w:t>
      </w:r>
    </w:p>
    <w:p w14:paraId="3BEA9B6B">
      <w:pPr>
        <w:pageBreakBefore w:val="0"/>
        <w:kinsoku/>
        <w:overflowPunct/>
        <w:topLinePunct w:val="0"/>
        <w:autoSpaceDE/>
        <w:autoSpaceDN/>
        <w:bidi w:val="0"/>
        <w:snapToGrid/>
        <w:spacing w:line="600" w:lineRule="exact"/>
        <w:ind w:left="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3、项目联系方式</w:t>
      </w:r>
      <w:bookmarkEnd w:id="48"/>
      <w:bookmarkEnd w:id="49"/>
      <w:bookmarkEnd w:id="50"/>
      <w:bookmarkEnd w:id="51"/>
    </w:p>
    <w:p w14:paraId="2044AACC">
      <w:pPr>
        <w:pageBreakBefore w:val="0"/>
        <w:kinsoku/>
        <w:overflowPunct/>
        <w:topLinePunct w:val="0"/>
        <w:autoSpaceDE/>
        <w:autoSpaceDN/>
        <w:bidi w:val="0"/>
        <w:snapToGrid/>
        <w:spacing w:line="600" w:lineRule="exact"/>
        <w:ind w:left="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项目联系人：</w:t>
      </w:r>
      <w:r>
        <w:rPr>
          <w:rFonts w:hint="eastAsia" w:ascii="宋体" w:hAnsi="宋体" w:eastAsia="宋体" w:cs="宋体"/>
          <w:bCs/>
          <w:color w:val="auto"/>
          <w:sz w:val="28"/>
          <w:szCs w:val="28"/>
          <w:highlight w:val="none"/>
          <w:lang w:val="en-US" w:eastAsia="zh-CN"/>
        </w:rPr>
        <w:t>万</w:t>
      </w:r>
      <w:r>
        <w:rPr>
          <w:rFonts w:hint="eastAsia" w:ascii="宋体" w:hAnsi="宋体" w:eastAsia="宋体" w:cs="宋体"/>
          <w:bCs/>
          <w:color w:val="auto"/>
          <w:sz w:val="28"/>
          <w:szCs w:val="28"/>
          <w:highlight w:val="none"/>
        </w:rPr>
        <w:t>工</w:t>
      </w:r>
    </w:p>
    <w:p w14:paraId="51AE6F52">
      <w:pPr>
        <w:pageBreakBefore w:val="0"/>
        <w:widowControl/>
        <w:kinsoku/>
        <w:overflowPunct/>
        <w:topLinePunct w:val="0"/>
        <w:autoSpaceDE/>
        <w:autoSpaceDN/>
        <w:bidi w:val="0"/>
        <w:snapToGrid/>
        <w:spacing w:line="60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电    话：</w:t>
      </w:r>
      <w:r>
        <w:rPr>
          <w:rFonts w:hint="eastAsia" w:ascii="宋体" w:hAnsi="宋体" w:eastAsia="宋体" w:cs="宋体"/>
          <w:bCs/>
          <w:color w:val="auto"/>
          <w:sz w:val="28"/>
          <w:szCs w:val="28"/>
          <w:highlight w:val="none"/>
          <w:lang w:eastAsia="zh-CN"/>
        </w:rPr>
        <w:t>0564-3389003</w:t>
      </w:r>
    </w:p>
    <w:p w14:paraId="2E3FEA1A">
      <w:pPr>
        <w:pStyle w:val="40"/>
        <w:pageBreakBefore w:val="0"/>
        <w:kinsoku/>
        <w:overflowPunct/>
        <w:topLinePunct w:val="0"/>
        <w:autoSpaceDE/>
        <w:autoSpaceDN/>
        <w:bidi w:val="0"/>
        <w:snapToGrid/>
        <w:spacing w:line="600" w:lineRule="exact"/>
        <w:ind w:firstLine="0"/>
        <w:rPr>
          <w:rFonts w:hint="eastAsia" w:ascii="宋体" w:hAnsi="宋体" w:eastAsia="宋体" w:cs="宋体"/>
          <w:bCs/>
          <w:color w:val="auto"/>
          <w:sz w:val="28"/>
          <w:szCs w:val="28"/>
          <w:highlight w:val="none"/>
        </w:rPr>
      </w:pPr>
    </w:p>
    <w:p w14:paraId="089325AB">
      <w:pPr>
        <w:pageBreakBefore w:val="0"/>
        <w:kinsoku/>
        <w:overflowPunct/>
        <w:topLinePunct w:val="0"/>
        <w:autoSpaceDE/>
        <w:autoSpaceDN/>
        <w:bidi w:val="0"/>
        <w:snapToGrid/>
        <w:spacing w:line="600" w:lineRule="exact"/>
        <w:jc w:val="right"/>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2026年</w:t>
      </w:r>
      <w:r>
        <w:rPr>
          <w:rFonts w:hint="eastAsia" w:ascii="宋体" w:hAnsi="宋体" w:cs="宋体"/>
          <w:bCs/>
          <w:color w:val="auto"/>
          <w:sz w:val="28"/>
          <w:szCs w:val="28"/>
          <w:highlight w:val="none"/>
          <w:lang w:val="en-US" w:eastAsia="zh-CN"/>
        </w:rPr>
        <w:t>3</w:t>
      </w:r>
      <w:r>
        <w:rPr>
          <w:rFonts w:hint="eastAsia" w:ascii="宋体" w:hAnsi="宋体" w:eastAsia="宋体" w:cs="宋体"/>
          <w:bCs/>
          <w:color w:val="auto"/>
          <w:sz w:val="28"/>
          <w:szCs w:val="28"/>
          <w:highlight w:val="none"/>
          <w:lang w:eastAsia="zh-CN"/>
        </w:rPr>
        <w:t>月</w:t>
      </w:r>
      <w:r>
        <w:rPr>
          <w:rFonts w:hint="eastAsia" w:ascii="宋体" w:hAnsi="宋体" w:cs="宋体"/>
          <w:bCs/>
          <w:color w:val="auto"/>
          <w:sz w:val="28"/>
          <w:szCs w:val="28"/>
          <w:highlight w:val="none"/>
          <w:lang w:val="en-US" w:eastAsia="zh-CN"/>
        </w:rPr>
        <w:t>16</w:t>
      </w:r>
      <w:r>
        <w:rPr>
          <w:rFonts w:hint="eastAsia" w:ascii="宋体" w:hAnsi="宋体" w:eastAsia="宋体" w:cs="宋体"/>
          <w:bCs/>
          <w:color w:val="auto"/>
          <w:sz w:val="28"/>
          <w:szCs w:val="28"/>
          <w:highlight w:val="none"/>
          <w:lang w:eastAsia="zh-CN"/>
        </w:rPr>
        <w:t>日</w:t>
      </w:r>
    </w:p>
    <w:bookmarkEnd w:id="4"/>
    <w:p w14:paraId="4247EC1C">
      <w:pPr>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52" w:name="_Toc14053"/>
      <w:r>
        <w:rPr>
          <w:rFonts w:hint="eastAsia" w:ascii="宋体" w:hAnsi="宋体" w:eastAsia="宋体" w:cs="宋体"/>
          <w:b/>
          <w:bCs/>
          <w:color w:val="auto"/>
          <w:sz w:val="28"/>
          <w:szCs w:val="28"/>
          <w:highlight w:val="none"/>
        </w:rPr>
        <w:t>一、供应商须知</w:t>
      </w:r>
      <w:bookmarkEnd w:id="1"/>
      <w:bookmarkEnd w:id="2"/>
      <w:bookmarkEnd w:id="52"/>
    </w:p>
    <w:p w14:paraId="2C14B0CB">
      <w:pPr>
        <w:pStyle w:val="3"/>
        <w:spacing w:before="0" w:after="0" w:line="560" w:lineRule="exact"/>
        <w:jc w:val="center"/>
        <w:rPr>
          <w:rFonts w:hint="eastAsia" w:ascii="宋体" w:hAnsi="宋体" w:eastAsia="宋体" w:cs="宋体"/>
          <w:color w:val="auto"/>
          <w:sz w:val="24"/>
          <w:szCs w:val="24"/>
          <w:highlight w:val="none"/>
        </w:rPr>
      </w:pPr>
      <w:bookmarkStart w:id="53" w:name="_Toc10483"/>
      <w:r>
        <w:rPr>
          <w:rFonts w:hint="eastAsia" w:ascii="宋体" w:hAnsi="宋体" w:eastAsia="宋体" w:cs="宋体"/>
          <w:color w:val="auto"/>
          <w:sz w:val="24"/>
          <w:szCs w:val="24"/>
          <w:highlight w:val="none"/>
        </w:rPr>
        <w:t>（一）须知前附表</w:t>
      </w:r>
      <w:bookmarkEnd w:id="53"/>
    </w:p>
    <w:tbl>
      <w:tblPr>
        <w:tblStyle w:val="43"/>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6F9B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C8C8A71">
            <w:pPr>
              <w:spacing w:line="440" w:lineRule="exact"/>
              <w:jc w:val="center"/>
              <w:rPr>
                <w:rFonts w:hint="eastAsia" w:ascii="宋体" w:hAnsi="宋体" w:eastAsia="宋体" w:cs="宋体"/>
                <w:b/>
                <w:color w:val="auto"/>
                <w:sz w:val="24"/>
                <w:szCs w:val="24"/>
                <w:highlight w:val="none"/>
              </w:rPr>
            </w:pPr>
            <w:bookmarkStart w:id="54" w:name="_Toc438107743"/>
            <w:bookmarkStart w:id="55" w:name="_Toc363199267"/>
            <w:bookmarkStart w:id="56" w:name="_Toc216158627"/>
            <w:r>
              <w:rPr>
                <w:rFonts w:hint="eastAsia" w:ascii="宋体" w:hAnsi="宋体" w:eastAsia="宋体" w:cs="宋体"/>
                <w:b/>
                <w:color w:val="auto"/>
                <w:sz w:val="24"/>
                <w:szCs w:val="24"/>
                <w:highlight w:val="none"/>
              </w:rPr>
              <w:t>序号</w:t>
            </w:r>
          </w:p>
        </w:tc>
        <w:tc>
          <w:tcPr>
            <w:tcW w:w="1502" w:type="dxa"/>
            <w:noWrap w:val="0"/>
            <w:vAlign w:val="center"/>
          </w:tcPr>
          <w:p w14:paraId="15E38EEE">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308" w:type="dxa"/>
            <w:noWrap w:val="0"/>
            <w:vAlign w:val="center"/>
          </w:tcPr>
          <w:p w14:paraId="04E01421">
            <w:pPr>
              <w:pStyle w:val="106"/>
              <w:widowControl w:val="0"/>
              <w:spacing w:before="0" w:beforeAutospacing="0" w:after="0" w:afterAutospacing="0" w:line="440" w:lineRule="exac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说明与要求</w:t>
            </w:r>
          </w:p>
        </w:tc>
      </w:tr>
      <w:tr w14:paraId="49FE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0F139FD9">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1</w:t>
            </w:r>
          </w:p>
        </w:tc>
        <w:tc>
          <w:tcPr>
            <w:tcW w:w="1502" w:type="dxa"/>
            <w:noWrap w:val="0"/>
            <w:vAlign w:val="center"/>
          </w:tcPr>
          <w:p w14:paraId="4B3C954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采购人</w:t>
            </w:r>
          </w:p>
        </w:tc>
        <w:tc>
          <w:tcPr>
            <w:tcW w:w="7308" w:type="dxa"/>
            <w:noWrap w:val="0"/>
            <w:vAlign w:val="center"/>
          </w:tcPr>
          <w:p w14:paraId="7DF9D037">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六安市自然资源和规划局</w:t>
            </w:r>
          </w:p>
        </w:tc>
      </w:tr>
      <w:tr w14:paraId="26D2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62154C30">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2</w:t>
            </w:r>
          </w:p>
        </w:tc>
        <w:tc>
          <w:tcPr>
            <w:tcW w:w="1502" w:type="dxa"/>
            <w:noWrap w:val="0"/>
            <w:vAlign w:val="center"/>
          </w:tcPr>
          <w:p w14:paraId="7D62AA74">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采购代理机构</w:t>
            </w:r>
          </w:p>
        </w:tc>
        <w:tc>
          <w:tcPr>
            <w:tcW w:w="7308" w:type="dxa"/>
            <w:noWrap w:val="0"/>
            <w:vAlign w:val="center"/>
          </w:tcPr>
          <w:p w14:paraId="16558921">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名称：安徽</w:t>
            </w:r>
            <w:r>
              <w:rPr>
                <w:rFonts w:hint="eastAsia" w:ascii="宋体" w:hAnsi="宋体" w:cs="宋体"/>
                <w:color w:val="auto"/>
                <w:sz w:val="24"/>
                <w:szCs w:val="24"/>
                <w:highlight w:val="none"/>
                <w:lang w:val="en-US" w:eastAsia="zh-CN"/>
              </w:rPr>
              <w:t>方成项目管理</w:t>
            </w:r>
            <w:r>
              <w:rPr>
                <w:rFonts w:hint="eastAsia" w:ascii="宋体" w:hAnsi="宋体" w:eastAsia="宋体" w:cs="宋体"/>
                <w:color w:val="auto"/>
                <w:sz w:val="24"/>
                <w:szCs w:val="24"/>
                <w:highlight w:val="none"/>
              </w:rPr>
              <w:t>有限公司</w:t>
            </w:r>
          </w:p>
          <w:p w14:paraId="397207A4">
            <w:pPr>
              <w:spacing w:line="440" w:lineRule="exact"/>
              <w:jc w:val="left"/>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六安经济技术开发区鼎诚东方广场2栋2层203室铺</w:t>
            </w:r>
          </w:p>
        </w:tc>
      </w:tr>
      <w:tr w14:paraId="321C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F62C60F">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3</w:t>
            </w:r>
          </w:p>
        </w:tc>
        <w:tc>
          <w:tcPr>
            <w:tcW w:w="1502" w:type="dxa"/>
            <w:noWrap w:val="0"/>
            <w:vAlign w:val="center"/>
          </w:tcPr>
          <w:p w14:paraId="3EC1514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7308" w:type="dxa"/>
            <w:noWrap w:val="0"/>
            <w:vAlign w:val="center"/>
          </w:tcPr>
          <w:p w14:paraId="05B2013C">
            <w:pPr>
              <w:pStyle w:val="106"/>
              <w:widowControl w:val="0"/>
              <w:spacing w:before="0" w:beforeAutospacing="0" w:after="0" w:afterAutospacing="0" w:line="44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响应文件提交截止日后30天</w:t>
            </w:r>
          </w:p>
        </w:tc>
      </w:tr>
      <w:tr w14:paraId="390A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FEE6677">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lang w:val="en-US"/>
              </w:rPr>
            </w:pPr>
            <w:r>
              <w:rPr>
                <w:rFonts w:hint="eastAsia" w:ascii="宋体" w:hAnsi="宋体" w:eastAsia="宋体" w:cs="宋体"/>
                <w:b/>
                <w:color w:val="auto"/>
                <w:kern w:val="2"/>
                <w:szCs w:val="24"/>
                <w:highlight w:val="none"/>
                <w:lang w:val="en-US"/>
              </w:rPr>
              <w:t>4</w:t>
            </w:r>
          </w:p>
        </w:tc>
        <w:tc>
          <w:tcPr>
            <w:tcW w:w="1502" w:type="dxa"/>
            <w:noWrap w:val="0"/>
            <w:vAlign w:val="center"/>
          </w:tcPr>
          <w:p w14:paraId="17F94330">
            <w:pPr>
              <w:pStyle w:val="106"/>
              <w:widowControl w:val="0"/>
              <w:spacing w:before="0" w:beforeAutospacing="0" w:after="0" w:afterAutospacing="0" w:line="440" w:lineRule="exact"/>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项目类型</w:t>
            </w:r>
          </w:p>
        </w:tc>
        <w:tc>
          <w:tcPr>
            <w:tcW w:w="7308" w:type="dxa"/>
            <w:noWrap w:val="0"/>
            <w:vAlign w:val="center"/>
          </w:tcPr>
          <w:p w14:paraId="3F18E66F">
            <w:pPr>
              <w:pStyle w:val="106"/>
              <w:widowControl w:val="0"/>
              <w:spacing w:before="0" w:beforeAutospacing="0" w:after="0" w:afterAutospacing="0" w:line="44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服务类</w:t>
            </w:r>
          </w:p>
        </w:tc>
      </w:tr>
      <w:tr w14:paraId="4CE3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0CF875C4">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lang w:val="en-US"/>
              </w:rPr>
            </w:pPr>
            <w:r>
              <w:rPr>
                <w:rFonts w:hint="eastAsia" w:ascii="宋体" w:hAnsi="宋体" w:eastAsia="宋体" w:cs="宋体"/>
                <w:b/>
                <w:color w:val="auto"/>
                <w:kern w:val="2"/>
                <w:szCs w:val="24"/>
                <w:highlight w:val="none"/>
                <w:lang w:val="en-US"/>
              </w:rPr>
              <w:t>5</w:t>
            </w:r>
          </w:p>
        </w:tc>
        <w:tc>
          <w:tcPr>
            <w:tcW w:w="1502" w:type="dxa"/>
            <w:noWrap w:val="0"/>
            <w:vAlign w:val="center"/>
          </w:tcPr>
          <w:p w14:paraId="50039FE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308" w:type="dxa"/>
            <w:noWrap w:val="0"/>
            <w:vAlign w:val="center"/>
          </w:tcPr>
          <w:p w14:paraId="60267C97">
            <w:pPr>
              <w:pStyle w:val="106"/>
              <w:widowControl w:val="0"/>
              <w:spacing w:before="0" w:beforeAutospacing="0" w:after="0" w:afterAutospacing="0" w:line="440" w:lineRule="exact"/>
              <w:jc w:val="both"/>
              <w:rPr>
                <w:rFonts w:hint="eastAsia" w:ascii="宋体" w:hAnsi="宋体" w:eastAsia="宋体" w:cs="宋体"/>
                <w:color w:val="auto"/>
                <w:sz w:val="24"/>
                <w:szCs w:val="24"/>
                <w:highlight w:val="none"/>
                <w:lang w:eastAsia="zh-CN"/>
              </w:rPr>
            </w:pPr>
            <w:r>
              <w:rPr>
                <w:rFonts w:hint="eastAsia" w:cs="宋体"/>
                <w:b w:val="0"/>
                <w:bCs w:val="0"/>
                <w:color w:val="auto"/>
                <w:sz w:val="24"/>
                <w:szCs w:val="24"/>
                <w:highlight w:val="none"/>
                <w:lang w:eastAsia="zh-CN"/>
              </w:rPr>
              <w:t>2026年采矿权实地勘测定界和超层越界开采动态监测</w:t>
            </w:r>
          </w:p>
        </w:tc>
      </w:tr>
      <w:tr w14:paraId="29A1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0E449F31">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6</w:t>
            </w:r>
          </w:p>
        </w:tc>
        <w:tc>
          <w:tcPr>
            <w:tcW w:w="1502" w:type="dxa"/>
            <w:noWrap w:val="0"/>
            <w:vAlign w:val="center"/>
          </w:tcPr>
          <w:p w14:paraId="15A09DE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308" w:type="dxa"/>
            <w:noWrap w:val="0"/>
            <w:vAlign w:val="center"/>
          </w:tcPr>
          <w:p w14:paraId="50A8AF7B">
            <w:pPr>
              <w:pStyle w:val="106"/>
              <w:widowControl w:val="0"/>
              <w:spacing w:before="0" w:beforeAutospacing="0" w:after="0" w:afterAutospacing="0" w:line="440" w:lineRule="exact"/>
              <w:jc w:val="both"/>
              <w:rPr>
                <w:rFonts w:hint="eastAsia" w:ascii="宋体" w:hAnsi="宋体" w:eastAsia="宋体" w:cs="宋体"/>
                <w:b w:val="0"/>
                <w:color w:val="auto"/>
                <w:sz w:val="24"/>
                <w:szCs w:val="24"/>
                <w:highlight w:val="none"/>
                <w:lang w:eastAsia="zh-CN"/>
              </w:rPr>
            </w:pPr>
            <w:r>
              <w:rPr>
                <w:rFonts w:hint="eastAsia" w:cs="宋体"/>
                <w:b w:val="0"/>
                <w:color w:val="auto"/>
                <w:sz w:val="24"/>
                <w:szCs w:val="24"/>
                <w:highlight w:val="none"/>
                <w:lang w:eastAsia="zh-CN"/>
              </w:rPr>
              <w:t>AHFC202603002</w:t>
            </w:r>
          </w:p>
        </w:tc>
      </w:tr>
      <w:tr w14:paraId="1BEC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06" w:hRule="atLeast"/>
          <w:jc w:val="center"/>
        </w:trPr>
        <w:tc>
          <w:tcPr>
            <w:tcW w:w="804" w:type="dxa"/>
            <w:noWrap w:val="0"/>
            <w:vAlign w:val="center"/>
          </w:tcPr>
          <w:p w14:paraId="2CF63259">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7</w:t>
            </w:r>
          </w:p>
        </w:tc>
        <w:tc>
          <w:tcPr>
            <w:tcW w:w="1502" w:type="dxa"/>
            <w:noWrap w:val="0"/>
            <w:vAlign w:val="center"/>
          </w:tcPr>
          <w:p w14:paraId="7EDA5D8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308" w:type="dxa"/>
            <w:noWrap w:val="0"/>
            <w:vAlign w:val="center"/>
          </w:tcPr>
          <w:p w14:paraId="428FE450">
            <w:pPr>
              <w:pStyle w:val="106"/>
              <w:widowControl w:val="0"/>
              <w:spacing w:before="0" w:beforeAutospacing="0" w:after="0" w:afterAutospacing="0" w:line="440" w:lineRule="exact"/>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合同签订后支付合同金额的70%作为预付款，服务期结束，经采购人验收合格后一次性付清合同尾款。</w:t>
            </w:r>
          </w:p>
          <w:p w14:paraId="153818FF">
            <w:pPr>
              <w:pStyle w:val="106"/>
              <w:widowControl w:val="0"/>
              <w:spacing w:before="0" w:beforeAutospacing="0" w:after="0" w:afterAutospacing="0" w:line="44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供应商提交的响应文件中如有关于付款条件的表述与磋商文件规定不符，将被视为实质性不响应，将导致响应无效</w:t>
            </w:r>
            <w:r>
              <w:rPr>
                <w:rFonts w:hint="eastAsia" w:ascii="宋体" w:hAnsi="宋体" w:eastAsia="宋体" w:cs="宋体"/>
                <w:color w:val="auto"/>
                <w:sz w:val="24"/>
                <w:szCs w:val="24"/>
                <w:highlight w:val="none"/>
                <w:lang w:eastAsia="zh-CN"/>
              </w:rPr>
              <w:t>。</w:t>
            </w:r>
          </w:p>
        </w:tc>
      </w:tr>
      <w:tr w14:paraId="4F88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0CCECD8">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8</w:t>
            </w:r>
          </w:p>
        </w:tc>
        <w:tc>
          <w:tcPr>
            <w:tcW w:w="1502" w:type="dxa"/>
            <w:noWrap w:val="0"/>
            <w:vAlign w:val="center"/>
          </w:tcPr>
          <w:p w14:paraId="5D63F0E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7308" w:type="dxa"/>
            <w:noWrap w:val="0"/>
            <w:vAlign w:val="center"/>
          </w:tcPr>
          <w:p w14:paraId="12150A1F">
            <w:pPr>
              <w:pStyle w:val="106"/>
              <w:widowControl w:val="0"/>
              <w:spacing w:before="0" w:beforeAutospacing="0" w:after="0" w:afterAutospacing="0" w:line="440" w:lineRule="exact"/>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合同签订后</w:t>
            </w:r>
            <w:r>
              <w:rPr>
                <w:rFonts w:hint="eastAsia" w:cs="宋体"/>
                <w:b w:val="0"/>
                <w:bCs w:val="0"/>
                <w:color w:val="auto"/>
                <w:sz w:val="24"/>
                <w:szCs w:val="24"/>
                <w:highlight w:val="none"/>
                <w:lang w:val="en-US" w:eastAsia="zh-CN"/>
              </w:rPr>
              <w:t>210</w:t>
            </w:r>
            <w:r>
              <w:rPr>
                <w:rFonts w:hint="eastAsia" w:ascii="宋体" w:hAnsi="宋体" w:eastAsia="宋体" w:cs="宋体"/>
                <w:b w:val="0"/>
                <w:bCs w:val="0"/>
                <w:color w:val="auto"/>
                <w:sz w:val="24"/>
                <w:szCs w:val="24"/>
                <w:highlight w:val="none"/>
                <w:lang w:eastAsia="zh-CN"/>
              </w:rPr>
              <w:t>日历天内完成。</w:t>
            </w:r>
          </w:p>
        </w:tc>
      </w:tr>
      <w:tr w14:paraId="5CAE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53F746C">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9</w:t>
            </w:r>
          </w:p>
        </w:tc>
        <w:tc>
          <w:tcPr>
            <w:tcW w:w="1502" w:type="dxa"/>
            <w:noWrap w:val="0"/>
            <w:vAlign w:val="center"/>
          </w:tcPr>
          <w:p w14:paraId="4E737179">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color w:val="auto"/>
                <w:szCs w:val="24"/>
                <w:highlight w:val="none"/>
              </w:rPr>
            </w:pPr>
            <w:r>
              <w:rPr>
                <w:rFonts w:hint="eastAsia" w:ascii="宋体" w:hAnsi="宋体" w:cs="宋体"/>
                <w:bCs/>
                <w:color w:val="auto"/>
                <w:kern w:val="2"/>
                <w:szCs w:val="24"/>
                <w:highlight w:val="none"/>
                <w:lang w:val="en-US" w:eastAsia="zh-CN"/>
              </w:rPr>
              <w:t>代理</w:t>
            </w:r>
            <w:r>
              <w:rPr>
                <w:rFonts w:hint="eastAsia" w:ascii="宋体" w:hAnsi="宋体" w:eastAsia="宋体" w:cs="宋体"/>
                <w:bCs/>
                <w:color w:val="auto"/>
                <w:kern w:val="2"/>
                <w:szCs w:val="24"/>
                <w:highlight w:val="none"/>
              </w:rPr>
              <w:t>服务费</w:t>
            </w:r>
          </w:p>
        </w:tc>
        <w:tc>
          <w:tcPr>
            <w:tcW w:w="7308" w:type="dxa"/>
            <w:noWrap w:val="0"/>
            <w:vAlign w:val="center"/>
          </w:tcPr>
          <w:p w14:paraId="083B5B8A">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sz w:val="24"/>
                <w:szCs w:val="24"/>
                <w:highlight w:val="none"/>
                <w:lang w:val="en-US"/>
              </w:rPr>
            </w:pPr>
            <w:r>
              <w:rPr>
                <w:rFonts w:hint="eastAsia" w:ascii="宋体" w:hAnsi="宋体" w:cs="宋体"/>
                <w:bCs/>
                <w:color w:val="auto"/>
                <w:kern w:val="2"/>
                <w:sz w:val="24"/>
                <w:szCs w:val="24"/>
                <w:highlight w:val="none"/>
                <w:lang w:val="en-US" w:eastAsia="zh-CN"/>
              </w:rPr>
              <w:t>代理</w:t>
            </w:r>
            <w:r>
              <w:rPr>
                <w:rFonts w:hint="eastAsia" w:ascii="宋体" w:hAnsi="宋体" w:eastAsia="宋体" w:cs="宋体"/>
                <w:bCs/>
                <w:color w:val="auto"/>
                <w:kern w:val="2"/>
                <w:sz w:val="24"/>
                <w:szCs w:val="24"/>
                <w:highlight w:val="none"/>
              </w:rPr>
              <w:t>服务费</w:t>
            </w:r>
            <w:r>
              <w:rPr>
                <w:rFonts w:hint="eastAsia" w:ascii="宋体" w:hAnsi="宋体" w:eastAsia="宋体" w:cs="宋体"/>
                <w:bCs/>
                <w:color w:val="auto"/>
                <w:sz w:val="24"/>
                <w:szCs w:val="24"/>
                <w:highlight w:val="none"/>
                <w:lang w:val="en-US"/>
              </w:rPr>
              <w:t>参照计价格[2002]1980号文规定收取</w:t>
            </w:r>
            <w:r>
              <w:rPr>
                <w:rFonts w:hint="eastAsia" w:ascii="宋体" w:hAnsi="宋体" w:eastAsia="宋体" w:cs="宋体"/>
                <w:bCs/>
                <w:color w:val="auto"/>
                <w:sz w:val="24"/>
                <w:szCs w:val="24"/>
                <w:highlight w:val="none"/>
                <w:lang w:val="en-US" w:eastAsia="zh-CN"/>
              </w:rPr>
              <w:t>，不足</w:t>
            </w:r>
            <w:r>
              <w:rPr>
                <w:rFonts w:hint="eastAsia" w:ascii="宋体" w:hAnsi="宋体" w:cs="宋体"/>
                <w:bCs/>
                <w:color w:val="auto"/>
                <w:sz w:val="24"/>
                <w:szCs w:val="24"/>
                <w:highlight w:val="none"/>
                <w:lang w:val="en-US" w:eastAsia="zh-CN"/>
              </w:rPr>
              <w:t>叁</w:t>
            </w:r>
            <w:r>
              <w:rPr>
                <w:rFonts w:hint="eastAsia" w:ascii="宋体" w:hAnsi="宋体" w:eastAsia="宋体" w:cs="宋体"/>
                <w:bCs/>
                <w:color w:val="auto"/>
                <w:sz w:val="24"/>
                <w:szCs w:val="24"/>
                <w:highlight w:val="none"/>
                <w:lang w:val="en-US" w:eastAsia="zh-CN"/>
              </w:rPr>
              <w:t>仟元的按</w:t>
            </w:r>
            <w:r>
              <w:rPr>
                <w:rFonts w:hint="eastAsia" w:ascii="宋体" w:hAnsi="宋体" w:cs="宋体"/>
                <w:bCs/>
                <w:color w:val="auto"/>
                <w:sz w:val="24"/>
                <w:szCs w:val="24"/>
                <w:highlight w:val="none"/>
                <w:lang w:val="en-US" w:eastAsia="zh-CN"/>
              </w:rPr>
              <w:t>叁</w:t>
            </w:r>
            <w:r>
              <w:rPr>
                <w:rFonts w:hint="eastAsia" w:ascii="宋体" w:hAnsi="宋体" w:eastAsia="宋体" w:cs="宋体"/>
                <w:bCs/>
                <w:color w:val="auto"/>
                <w:sz w:val="24"/>
                <w:szCs w:val="24"/>
                <w:highlight w:val="none"/>
                <w:lang w:val="en-US" w:eastAsia="zh-CN"/>
              </w:rPr>
              <w:t>仟元收取，专家评审费按实收取，以上费用由成交供应商在领取成交通知书前支付，供应商自行考虑，不单独列出。</w:t>
            </w:r>
          </w:p>
        </w:tc>
      </w:tr>
      <w:tr w14:paraId="5775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7" w:hRule="atLeast"/>
          <w:jc w:val="center"/>
        </w:trPr>
        <w:tc>
          <w:tcPr>
            <w:tcW w:w="804" w:type="dxa"/>
            <w:noWrap w:val="0"/>
            <w:vAlign w:val="center"/>
          </w:tcPr>
          <w:p w14:paraId="35EB9BD9">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10</w:t>
            </w:r>
          </w:p>
        </w:tc>
        <w:tc>
          <w:tcPr>
            <w:tcW w:w="1502" w:type="dxa"/>
            <w:noWrap w:val="0"/>
            <w:vAlign w:val="center"/>
          </w:tcPr>
          <w:p w14:paraId="7B6DE47F">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履约保证金</w:t>
            </w:r>
          </w:p>
        </w:tc>
        <w:tc>
          <w:tcPr>
            <w:tcW w:w="7308" w:type="dxa"/>
            <w:noWrap w:val="0"/>
            <w:vAlign w:val="center"/>
          </w:tcPr>
          <w:p w14:paraId="0BF083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1、成交供应商在签订合同时应向采购人提交合同总价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的履约保证金。</w:t>
            </w:r>
          </w:p>
          <w:p w14:paraId="17BB1B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2、成交供应商可以通过转账、网银支付、汇票、支票、保证保险、担保保函、银行履约保函等方式提交履约保证金。</w:t>
            </w:r>
          </w:p>
          <w:p w14:paraId="08C124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3、项目验收结束后应及时退还履约保证金。</w:t>
            </w:r>
          </w:p>
        </w:tc>
      </w:tr>
      <w:tr w14:paraId="433E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09491166">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11</w:t>
            </w:r>
          </w:p>
        </w:tc>
        <w:tc>
          <w:tcPr>
            <w:tcW w:w="1502" w:type="dxa"/>
            <w:noWrap w:val="0"/>
            <w:vAlign w:val="center"/>
          </w:tcPr>
          <w:p w14:paraId="595ABA10">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勘察及对接</w:t>
            </w:r>
          </w:p>
        </w:tc>
        <w:tc>
          <w:tcPr>
            <w:tcW w:w="7308" w:type="dxa"/>
            <w:noWrap w:val="0"/>
            <w:vAlign w:val="center"/>
          </w:tcPr>
          <w:p w14:paraId="20931050">
            <w:pPr>
              <w:pStyle w:val="105"/>
              <w:pBdr>
                <w:bottom w:val="none" w:color="auto" w:sz="0" w:space="0"/>
              </w:pBdr>
              <w:tabs>
                <w:tab w:val="clear" w:pos="4153"/>
                <w:tab w:val="clear" w:pos="8306"/>
              </w:tabs>
              <w:adjustRightInd/>
              <w:spacing w:line="4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请各供应商联系采购单位自行勘踏，采购人免费提供项目实施过程中各项对接协调服务。</w:t>
            </w:r>
          </w:p>
        </w:tc>
      </w:tr>
      <w:tr w14:paraId="5993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noWrap w:val="0"/>
            <w:vAlign w:val="center"/>
          </w:tcPr>
          <w:p w14:paraId="473B2593">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12</w:t>
            </w:r>
          </w:p>
        </w:tc>
        <w:tc>
          <w:tcPr>
            <w:tcW w:w="1502" w:type="dxa"/>
            <w:noWrap w:val="0"/>
            <w:vAlign w:val="center"/>
          </w:tcPr>
          <w:p w14:paraId="16CC7133">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Cs w:val="24"/>
                <w:highlight w:val="none"/>
              </w:rPr>
            </w:pPr>
            <w:bookmarkStart w:id="57" w:name="_Hlk140738314"/>
            <w:r>
              <w:rPr>
                <w:rFonts w:hint="eastAsia" w:ascii="宋体" w:hAnsi="宋体" w:eastAsia="宋体" w:cs="宋体"/>
                <w:bCs/>
                <w:color w:val="auto"/>
                <w:kern w:val="2"/>
                <w:szCs w:val="24"/>
                <w:highlight w:val="none"/>
                <w:lang w:val="en-US"/>
              </w:rPr>
              <w:t>疑问、澄清与</w:t>
            </w:r>
            <w:r>
              <w:rPr>
                <w:rFonts w:hint="eastAsia" w:ascii="宋体" w:hAnsi="宋体" w:eastAsia="宋体" w:cs="宋体"/>
                <w:bCs/>
                <w:color w:val="auto"/>
                <w:kern w:val="2"/>
                <w:szCs w:val="24"/>
                <w:highlight w:val="none"/>
              </w:rPr>
              <w:t>答疑</w:t>
            </w:r>
            <w:bookmarkEnd w:id="57"/>
          </w:p>
        </w:tc>
        <w:tc>
          <w:tcPr>
            <w:tcW w:w="7308" w:type="dxa"/>
            <w:noWrap w:val="0"/>
            <w:vAlign w:val="center"/>
          </w:tcPr>
          <w:p w14:paraId="4A686CA5">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val="en-US" w:eastAsia="zh-CN"/>
              </w:rPr>
              <w:t>1、</w:t>
            </w:r>
            <w:r>
              <w:rPr>
                <w:rFonts w:hint="eastAsia" w:ascii="宋体" w:hAnsi="宋体" w:eastAsia="宋体" w:cs="宋体"/>
                <w:bCs/>
                <w:color w:val="auto"/>
                <w:kern w:val="2"/>
                <w:szCs w:val="24"/>
                <w:highlight w:val="none"/>
              </w:rPr>
              <w:t>供应商应仔细阅读采购文件，有任何疑问以书面方式于20</w:t>
            </w:r>
            <w:r>
              <w:rPr>
                <w:rFonts w:hint="eastAsia" w:ascii="宋体" w:hAnsi="宋体" w:cs="宋体"/>
                <w:bCs/>
                <w:color w:val="auto"/>
                <w:kern w:val="2"/>
                <w:szCs w:val="24"/>
                <w:highlight w:val="none"/>
                <w:lang w:val="en-US" w:eastAsia="zh-CN"/>
              </w:rPr>
              <w:t>26</w:t>
            </w:r>
            <w:r>
              <w:rPr>
                <w:rFonts w:hint="eastAsia" w:ascii="宋体" w:hAnsi="宋体" w:eastAsia="宋体" w:cs="宋体"/>
                <w:bCs/>
                <w:color w:val="auto"/>
                <w:kern w:val="2"/>
                <w:szCs w:val="24"/>
                <w:highlight w:val="none"/>
              </w:rPr>
              <w:t>年</w:t>
            </w:r>
            <w:r>
              <w:rPr>
                <w:rFonts w:hint="eastAsia" w:ascii="宋体" w:hAnsi="宋体" w:cs="宋体"/>
                <w:bCs/>
                <w:color w:val="auto"/>
                <w:kern w:val="2"/>
                <w:szCs w:val="24"/>
                <w:highlight w:val="none"/>
                <w:lang w:val="en-US" w:eastAsia="zh-CN"/>
              </w:rPr>
              <w:t>3</w:t>
            </w:r>
            <w:r>
              <w:rPr>
                <w:rFonts w:hint="eastAsia" w:ascii="宋体" w:hAnsi="宋体" w:eastAsia="宋体" w:cs="宋体"/>
                <w:bCs/>
                <w:color w:val="auto"/>
                <w:kern w:val="2"/>
                <w:szCs w:val="24"/>
                <w:highlight w:val="none"/>
              </w:rPr>
              <w:t>月</w:t>
            </w:r>
            <w:r>
              <w:rPr>
                <w:rFonts w:hint="eastAsia" w:ascii="宋体" w:hAnsi="宋体" w:cs="宋体"/>
                <w:bCs/>
                <w:color w:val="auto"/>
                <w:kern w:val="2"/>
                <w:szCs w:val="24"/>
                <w:highlight w:val="none"/>
                <w:lang w:val="en-US" w:eastAsia="zh-CN"/>
              </w:rPr>
              <w:t>18</w:t>
            </w:r>
            <w:bookmarkStart w:id="135" w:name="_GoBack"/>
            <w:bookmarkEnd w:id="135"/>
            <w:r>
              <w:rPr>
                <w:rFonts w:hint="eastAsia" w:ascii="宋体" w:hAnsi="宋体" w:eastAsia="宋体" w:cs="宋体"/>
                <w:bCs/>
                <w:color w:val="auto"/>
                <w:kern w:val="2"/>
                <w:szCs w:val="24"/>
                <w:highlight w:val="none"/>
              </w:rPr>
              <w:t>日</w:t>
            </w:r>
            <w:r>
              <w:rPr>
                <w:rFonts w:hint="eastAsia" w:ascii="宋体" w:hAnsi="宋体" w:eastAsia="宋体" w:cs="宋体"/>
                <w:bCs/>
                <w:color w:val="auto"/>
                <w:kern w:val="2"/>
                <w:szCs w:val="24"/>
                <w:highlight w:val="none"/>
                <w:lang w:val="en-US" w:eastAsia="zh-CN"/>
              </w:rPr>
              <w:t>17</w:t>
            </w:r>
            <w:r>
              <w:rPr>
                <w:rFonts w:hint="eastAsia" w:ascii="宋体" w:hAnsi="宋体" w:eastAsia="宋体" w:cs="宋体"/>
                <w:bCs/>
                <w:color w:val="auto"/>
                <w:kern w:val="2"/>
                <w:szCs w:val="24"/>
                <w:highlight w:val="none"/>
              </w:rPr>
              <w:t>时</w:t>
            </w:r>
            <w:r>
              <w:rPr>
                <w:rFonts w:hint="eastAsia" w:ascii="宋体" w:hAnsi="宋体" w:eastAsia="宋体" w:cs="宋体"/>
                <w:bCs/>
                <w:color w:val="auto"/>
                <w:kern w:val="2"/>
                <w:szCs w:val="24"/>
                <w:highlight w:val="none"/>
                <w:lang w:val="en-US" w:eastAsia="zh-CN"/>
              </w:rPr>
              <w:t>00</w:t>
            </w:r>
            <w:r>
              <w:rPr>
                <w:rFonts w:hint="eastAsia" w:ascii="宋体" w:hAnsi="宋体" w:eastAsia="宋体" w:cs="宋体"/>
                <w:bCs/>
                <w:color w:val="auto"/>
                <w:kern w:val="2"/>
                <w:szCs w:val="24"/>
                <w:highlight w:val="none"/>
              </w:rPr>
              <w:t>分前向采购人（代理机构）提出，逾期提出采购人（代理机构）有权不予受理。</w:t>
            </w:r>
          </w:p>
          <w:p w14:paraId="7744E30F">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lang w:val="en-US"/>
              </w:rPr>
            </w:pPr>
            <w:r>
              <w:rPr>
                <w:rFonts w:hint="eastAsia" w:ascii="宋体" w:hAnsi="宋体" w:eastAsia="宋体" w:cs="宋体"/>
                <w:bCs/>
                <w:color w:val="auto"/>
                <w:kern w:val="2"/>
                <w:szCs w:val="24"/>
                <w:highlight w:val="none"/>
                <w:lang w:val="en-US"/>
              </w:rPr>
              <w:t>2</w:t>
            </w:r>
            <w:r>
              <w:rPr>
                <w:rFonts w:hint="eastAsia" w:ascii="宋体" w:hAnsi="宋体" w:eastAsia="宋体" w:cs="宋体"/>
                <w:bCs/>
                <w:color w:val="auto"/>
                <w:kern w:val="2"/>
                <w:szCs w:val="24"/>
                <w:highlight w:val="none"/>
              </w:rPr>
              <w:t>、答疑文件</w:t>
            </w:r>
            <w:r>
              <w:rPr>
                <w:rFonts w:hint="eastAsia" w:ascii="宋体" w:hAnsi="宋体" w:eastAsia="宋体" w:cs="宋体"/>
                <w:bCs/>
                <w:color w:val="auto"/>
                <w:kern w:val="2"/>
                <w:szCs w:val="24"/>
                <w:highlight w:val="none"/>
                <w:lang w:val="en-US"/>
              </w:rPr>
              <w:t>（</w:t>
            </w:r>
            <w:r>
              <w:rPr>
                <w:rFonts w:hint="eastAsia" w:ascii="宋体" w:hAnsi="宋体" w:eastAsia="宋体" w:cs="宋体"/>
                <w:bCs/>
                <w:color w:val="auto"/>
                <w:kern w:val="2"/>
                <w:szCs w:val="24"/>
                <w:highlight w:val="none"/>
              </w:rPr>
              <w:t>更正公告</w:t>
            </w:r>
            <w:r>
              <w:rPr>
                <w:rFonts w:hint="eastAsia" w:ascii="宋体" w:hAnsi="宋体" w:eastAsia="宋体" w:cs="宋体"/>
                <w:bCs/>
                <w:color w:val="auto"/>
                <w:kern w:val="2"/>
                <w:szCs w:val="24"/>
                <w:highlight w:val="none"/>
                <w:lang w:val="en-US"/>
              </w:rPr>
              <w:t>）</w:t>
            </w:r>
            <w:r>
              <w:rPr>
                <w:rFonts w:hint="eastAsia" w:ascii="宋体" w:hAnsi="宋体" w:eastAsia="宋体" w:cs="宋体"/>
                <w:bCs/>
                <w:color w:val="auto"/>
                <w:kern w:val="2"/>
                <w:szCs w:val="24"/>
                <w:highlight w:val="none"/>
              </w:rPr>
              <w:t>在六安市自然资源和规划局</w:t>
            </w:r>
            <w:r>
              <w:rPr>
                <w:rFonts w:hint="eastAsia" w:ascii="宋体" w:hAnsi="宋体" w:eastAsia="宋体" w:cs="宋体"/>
                <w:bCs/>
                <w:color w:val="auto"/>
                <w:kern w:val="2"/>
                <w:szCs w:val="24"/>
                <w:highlight w:val="none"/>
                <w:lang w:val="en-US" w:eastAsia="zh-CN"/>
              </w:rPr>
              <w:t>官网(https://zrzy.luan.gov.cn/)</w:t>
            </w:r>
            <w:r>
              <w:rPr>
                <w:rFonts w:hint="eastAsia" w:ascii="宋体" w:hAnsi="宋体" w:eastAsia="宋体" w:cs="宋体"/>
                <w:bCs/>
                <w:color w:val="auto"/>
                <w:kern w:val="2"/>
                <w:szCs w:val="24"/>
                <w:highlight w:val="none"/>
                <w:lang w:val="en-US"/>
              </w:rPr>
              <w:t>，</w:t>
            </w:r>
            <w:r>
              <w:rPr>
                <w:rFonts w:hint="eastAsia" w:ascii="宋体" w:hAnsi="宋体" w:eastAsia="宋体" w:cs="宋体"/>
                <w:bCs/>
                <w:color w:val="auto"/>
                <w:kern w:val="2"/>
                <w:szCs w:val="24"/>
                <w:highlight w:val="none"/>
              </w:rPr>
              <w:t>答疑文件</w:t>
            </w:r>
            <w:r>
              <w:rPr>
                <w:rFonts w:hint="eastAsia" w:ascii="宋体" w:hAnsi="宋体" w:eastAsia="宋体" w:cs="宋体"/>
                <w:bCs/>
                <w:color w:val="auto"/>
                <w:kern w:val="2"/>
                <w:szCs w:val="24"/>
                <w:highlight w:val="none"/>
                <w:lang w:val="en-US"/>
              </w:rPr>
              <w:t>（</w:t>
            </w:r>
            <w:r>
              <w:rPr>
                <w:rFonts w:hint="eastAsia" w:ascii="宋体" w:hAnsi="宋体" w:eastAsia="宋体" w:cs="宋体"/>
                <w:bCs/>
                <w:color w:val="auto"/>
                <w:kern w:val="2"/>
                <w:szCs w:val="24"/>
                <w:highlight w:val="none"/>
              </w:rPr>
              <w:t>更正公告</w:t>
            </w:r>
            <w:r>
              <w:rPr>
                <w:rFonts w:hint="eastAsia" w:ascii="宋体" w:hAnsi="宋体" w:eastAsia="宋体" w:cs="宋体"/>
                <w:bCs/>
                <w:color w:val="auto"/>
                <w:kern w:val="2"/>
                <w:szCs w:val="24"/>
                <w:highlight w:val="none"/>
                <w:lang w:val="en-US"/>
              </w:rPr>
              <w:t>）</w:t>
            </w:r>
            <w:r>
              <w:rPr>
                <w:rFonts w:hint="eastAsia" w:ascii="宋体" w:hAnsi="宋体" w:eastAsia="宋体" w:cs="宋体"/>
                <w:bCs/>
                <w:color w:val="auto"/>
                <w:kern w:val="2"/>
                <w:szCs w:val="24"/>
                <w:highlight w:val="none"/>
              </w:rPr>
              <w:t>为</w:t>
            </w:r>
            <w:r>
              <w:rPr>
                <w:rFonts w:hint="eastAsia" w:ascii="宋体" w:hAnsi="宋体" w:eastAsia="宋体" w:cs="宋体"/>
                <w:bCs/>
                <w:color w:val="auto"/>
                <w:kern w:val="2"/>
                <w:szCs w:val="24"/>
                <w:highlight w:val="none"/>
                <w:lang w:val="en-US"/>
              </w:rPr>
              <w:t>采购</w:t>
            </w:r>
            <w:r>
              <w:rPr>
                <w:rFonts w:hint="eastAsia" w:ascii="宋体" w:hAnsi="宋体" w:eastAsia="宋体" w:cs="宋体"/>
                <w:bCs/>
                <w:color w:val="auto"/>
                <w:kern w:val="2"/>
                <w:szCs w:val="24"/>
                <w:highlight w:val="none"/>
              </w:rPr>
              <w:t>文件的有效组成部分</w:t>
            </w:r>
            <w:r>
              <w:rPr>
                <w:rFonts w:hint="eastAsia" w:ascii="宋体" w:hAnsi="宋体" w:eastAsia="宋体" w:cs="宋体"/>
                <w:bCs/>
                <w:color w:val="auto"/>
                <w:kern w:val="2"/>
                <w:szCs w:val="24"/>
                <w:highlight w:val="none"/>
                <w:lang w:val="en-US"/>
              </w:rPr>
              <w:t>，</w:t>
            </w:r>
            <w:r>
              <w:rPr>
                <w:rFonts w:hint="eastAsia" w:ascii="宋体" w:hAnsi="宋体" w:eastAsia="宋体" w:cs="宋体"/>
                <w:bCs/>
                <w:color w:val="auto"/>
                <w:kern w:val="2"/>
                <w:szCs w:val="24"/>
                <w:highlight w:val="none"/>
              </w:rPr>
              <w:t>一经发布即为视同已通知所有潜在供应商</w:t>
            </w:r>
            <w:r>
              <w:rPr>
                <w:rFonts w:hint="eastAsia" w:ascii="宋体" w:hAnsi="宋体" w:eastAsia="宋体" w:cs="宋体"/>
                <w:bCs/>
                <w:color w:val="auto"/>
                <w:kern w:val="2"/>
                <w:szCs w:val="24"/>
                <w:highlight w:val="none"/>
                <w:lang w:val="en-US"/>
              </w:rPr>
              <w:t>，</w:t>
            </w:r>
            <w:r>
              <w:rPr>
                <w:rFonts w:hint="eastAsia" w:ascii="宋体" w:hAnsi="宋体" w:eastAsia="宋体" w:cs="宋体"/>
                <w:bCs/>
                <w:color w:val="auto"/>
                <w:kern w:val="2"/>
                <w:szCs w:val="24"/>
                <w:highlight w:val="none"/>
              </w:rPr>
              <w:t>若因未及时关注而造成的一切后果</w:t>
            </w:r>
            <w:r>
              <w:rPr>
                <w:rFonts w:hint="eastAsia" w:ascii="宋体" w:hAnsi="宋体" w:eastAsia="宋体" w:cs="宋体"/>
                <w:bCs/>
                <w:color w:val="auto"/>
                <w:kern w:val="2"/>
                <w:szCs w:val="24"/>
                <w:highlight w:val="none"/>
                <w:lang w:val="en-US"/>
              </w:rPr>
              <w:t>，</w:t>
            </w:r>
            <w:r>
              <w:rPr>
                <w:rFonts w:hint="eastAsia" w:ascii="宋体" w:hAnsi="宋体" w:eastAsia="宋体" w:cs="宋体"/>
                <w:bCs/>
                <w:color w:val="auto"/>
                <w:kern w:val="2"/>
                <w:szCs w:val="24"/>
                <w:highlight w:val="none"/>
              </w:rPr>
              <w:t>由供应商自行承担。</w:t>
            </w:r>
          </w:p>
        </w:tc>
      </w:tr>
      <w:tr w14:paraId="7D74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3EFCD843">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1</w:t>
            </w:r>
            <w:r>
              <w:rPr>
                <w:rFonts w:hint="eastAsia" w:ascii="宋体" w:hAnsi="宋体" w:eastAsia="宋体" w:cs="宋体"/>
                <w:b/>
                <w:color w:val="auto"/>
                <w:kern w:val="2"/>
                <w:szCs w:val="24"/>
                <w:highlight w:val="none"/>
                <w:lang w:val="en-US"/>
              </w:rPr>
              <w:t>3</w:t>
            </w:r>
          </w:p>
        </w:tc>
        <w:tc>
          <w:tcPr>
            <w:tcW w:w="1502" w:type="dxa"/>
            <w:noWrap w:val="0"/>
            <w:vAlign w:val="center"/>
          </w:tcPr>
          <w:p w14:paraId="43D8E1C1">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响应文件份数及要求</w:t>
            </w:r>
          </w:p>
        </w:tc>
        <w:tc>
          <w:tcPr>
            <w:tcW w:w="7308" w:type="dxa"/>
            <w:noWrap w:val="0"/>
            <w:vAlign w:val="center"/>
          </w:tcPr>
          <w:p w14:paraId="690AD8CB">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color w:val="auto"/>
                <w:szCs w:val="24"/>
                <w:highlight w:val="none"/>
              </w:rPr>
              <w:t>响应文件正本1 份，副本3份；密封提交。</w:t>
            </w:r>
            <w:r>
              <w:rPr>
                <w:rFonts w:hint="eastAsia" w:ascii="宋体" w:hAnsi="宋体" w:eastAsia="宋体" w:cs="宋体"/>
                <w:b/>
                <w:bCs/>
                <w:color w:val="auto"/>
                <w:szCs w:val="24"/>
                <w:highlight w:val="none"/>
              </w:rPr>
              <w:t>另须提供一份响应文件电子版（须为正本扫描件）存入U盘随响应文件一并递交，U盘须单独密封。</w:t>
            </w:r>
          </w:p>
        </w:tc>
      </w:tr>
      <w:tr w14:paraId="0B1E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F2EBB39">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lang w:val="en-US"/>
              </w:rPr>
            </w:pPr>
            <w:r>
              <w:rPr>
                <w:rFonts w:hint="eastAsia" w:ascii="宋体" w:hAnsi="宋体" w:eastAsia="宋体" w:cs="宋体"/>
                <w:b/>
                <w:color w:val="auto"/>
                <w:kern w:val="2"/>
                <w:szCs w:val="24"/>
                <w:highlight w:val="none"/>
                <w:lang w:val="en-US"/>
              </w:rPr>
              <w:t>14</w:t>
            </w:r>
          </w:p>
        </w:tc>
        <w:tc>
          <w:tcPr>
            <w:tcW w:w="1502" w:type="dxa"/>
            <w:noWrap w:val="0"/>
            <w:vAlign w:val="center"/>
          </w:tcPr>
          <w:p w14:paraId="62D17F52">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备注一</w:t>
            </w:r>
          </w:p>
        </w:tc>
        <w:tc>
          <w:tcPr>
            <w:tcW w:w="7308" w:type="dxa"/>
            <w:noWrap w:val="0"/>
            <w:vAlign w:val="center"/>
          </w:tcPr>
          <w:p w14:paraId="79FA06D4">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1、存在以下不良信用记录情形之一的，不得推荐为成交候选供应商,评审时磋商小组应当按照下列第3条不良信用记录查询渠道对供应商是否存在不良信用记录进行查询：</w:t>
            </w:r>
          </w:p>
          <w:p w14:paraId="41301C97">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（1）供应商被人民法院列入失信被执行人的；</w:t>
            </w:r>
          </w:p>
          <w:p w14:paraId="0BF722D8">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（2）供应商被市场监督管理部门列入严重违法失信企业名录的；</w:t>
            </w:r>
          </w:p>
          <w:p w14:paraId="2C36083E">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（3）供应商被税务部门列入重大税收违法案件当事人名单的；</w:t>
            </w:r>
          </w:p>
          <w:p w14:paraId="57E1B285">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（4）供应商被政府采购监管部门列入政府采购严重违法失信行为记录名单的。</w:t>
            </w:r>
          </w:p>
          <w:p w14:paraId="0691EEB3">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2、联合体供应商，联合体任何一方存在上述不良信用记录的，视同联合体存在不良信用记录。</w:t>
            </w:r>
          </w:p>
          <w:p w14:paraId="392F1274">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3、不良信用记录查询渠道如下：</w:t>
            </w:r>
          </w:p>
          <w:p w14:paraId="7F161A93">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（1）失信被执行人：信用中国官网（www.creditchina.gov.cn）</w:t>
            </w:r>
          </w:p>
          <w:p w14:paraId="4845F1CE">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（2）严重违法失信企业名录：信用中国官网（www.creditchina.gov.cn）</w:t>
            </w:r>
          </w:p>
          <w:p w14:paraId="06752490">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（3）重大税收违法案件当事人名单：信用中国官网（www.creditchina.gov.cn）</w:t>
            </w:r>
          </w:p>
          <w:p w14:paraId="28F758B7">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（4）政府采购严重违法失信行为记录名单：中国政府采购官网（www.ccgp.gov.cn）</w:t>
            </w:r>
          </w:p>
        </w:tc>
      </w:tr>
      <w:tr w14:paraId="6814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2CB14CFB">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1</w:t>
            </w:r>
            <w:r>
              <w:rPr>
                <w:rFonts w:hint="eastAsia" w:ascii="宋体" w:hAnsi="宋体" w:eastAsia="宋体" w:cs="宋体"/>
                <w:b/>
                <w:color w:val="auto"/>
                <w:kern w:val="2"/>
                <w:szCs w:val="24"/>
                <w:highlight w:val="none"/>
                <w:lang w:val="en-US"/>
              </w:rPr>
              <w:t>5</w:t>
            </w:r>
          </w:p>
        </w:tc>
        <w:tc>
          <w:tcPr>
            <w:tcW w:w="1502" w:type="dxa"/>
            <w:noWrap w:val="0"/>
            <w:vAlign w:val="center"/>
          </w:tcPr>
          <w:p w14:paraId="1EF1DEBA">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备注二</w:t>
            </w:r>
          </w:p>
        </w:tc>
        <w:tc>
          <w:tcPr>
            <w:tcW w:w="7308" w:type="dxa"/>
            <w:noWrap w:val="0"/>
            <w:vAlign w:val="center"/>
          </w:tcPr>
          <w:p w14:paraId="32D3ED0D">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2722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53F54504">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lang w:val="en-US"/>
              </w:rPr>
            </w:pPr>
            <w:r>
              <w:rPr>
                <w:rFonts w:hint="eastAsia" w:ascii="宋体" w:hAnsi="宋体" w:eastAsia="宋体" w:cs="宋体"/>
                <w:b/>
                <w:color w:val="auto"/>
                <w:kern w:val="2"/>
                <w:szCs w:val="24"/>
                <w:highlight w:val="none"/>
                <w:lang w:val="en-US"/>
              </w:rPr>
              <w:t>16</w:t>
            </w:r>
          </w:p>
        </w:tc>
        <w:tc>
          <w:tcPr>
            <w:tcW w:w="1502" w:type="dxa"/>
            <w:noWrap w:val="0"/>
            <w:vAlign w:val="center"/>
          </w:tcPr>
          <w:p w14:paraId="532DDF83">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关于联合体投标的相关约定（</w:t>
            </w:r>
            <w:r>
              <w:rPr>
                <w:rFonts w:hint="eastAsia" w:ascii="宋体" w:hAnsi="宋体" w:eastAsia="宋体" w:cs="宋体"/>
                <w:bCs/>
                <w:color w:val="auto"/>
                <w:kern w:val="2"/>
                <w:szCs w:val="24"/>
                <w:highlight w:val="none"/>
                <w:lang w:val="en-US"/>
              </w:rPr>
              <w:t>本项目不适用）</w:t>
            </w:r>
          </w:p>
        </w:tc>
        <w:tc>
          <w:tcPr>
            <w:tcW w:w="7308" w:type="dxa"/>
            <w:noWrap w:val="0"/>
            <w:vAlign w:val="center"/>
          </w:tcPr>
          <w:p w14:paraId="3472B03D">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合体投标的须提供联合体协议（格式见附件）、联合体各方均须提供营业执照、税务登记证（提供“三证合一”后的营业执照，税务登记证不再提供），其余证明材料投标供应商根据联合体协议分工情况及采购文件要求提供。联合体各方提供的本单位证明材料需各自盖章，其他如采购文件无特殊要求的，盖主体方公章即可。</w:t>
            </w:r>
          </w:p>
        </w:tc>
      </w:tr>
      <w:tr w14:paraId="5EBA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27" w:hRule="atLeast"/>
          <w:jc w:val="center"/>
        </w:trPr>
        <w:tc>
          <w:tcPr>
            <w:tcW w:w="804" w:type="dxa"/>
            <w:noWrap w:val="0"/>
            <w:vAlign w:val="center"/>
          </w:tcPr>
          <w:p w14:paraId="16AB22C1">
            <w:pPr>
              <w:pStyle w:val="105"/>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szCs w:val="24"/>
                <w:highlight w:val="none"/>
                <w:lang w:val="en-US" w:eastAsia="zh-CN"/>
              </w:rPr>
            </w:pPr>
            <w:r>
              <w:rPr>
                <w:rFonts w:hint="eastAsia" w:ascii="宋体" w:hAnsi="宋体" w:eastAsia="宋体" w:cs="宋体"/>
                <w:b/>
                <w:color w:val="auto"/>
                <w:kern w:val="2"/>
                <w:szCs w:val="24"/>
                <w:highlight w:val="none"/>
                <w:lang w:val="en-US"/>
              </w:rPr>
              <w:t>1</w:t>
            </w:r>
            <w:r>
              <w:rPr>
                <w:rFonts w:hint="eastAsia" w:ascii="宋体" w:hAnsi="宋体" w:eastAsia="宋体" w:cs="宋体"/>
                <w:b/>
                <w:color w:val="auto"/>
                <w:kern w:val="2"/>
                <w:szCs w:val="24"/>
                <w:highlight w:val="none"/>
                <w:lang w:val="en-US" w:eastAsia="zh-CN"/>
              </w:rPr>
              <w:t>7</w:t>
            </w:r>
          </w:p>
        </w:tc>
        <w:tc>
          <w:tcPr>
            <w:tcW w:w="1502" w:type="dxa"/>
            <w:noWrap w:val="0"/>
            <w:vAlign w:val="center"/>
          </w:tcPr>
          <w:p w14:paraId="51D8C71C">
            <w:pPr>
              <w:jc w:val="center"/>
              <w:rPr>
                <w:rFonts w:hint="eastAsia" w:ascii="宋体" w:hAnsi="宋体" w:eastAsia="宋体" w:cs="宋体"/>
                <w:color w:val="auto"/>
                <w:highlight w:val="none"/>
              </w:rPr>
            </w:pPr>
            <w:r>
              <w:rPr>
                <w:rFonts w:hint="eastAsia" w:ascii="宋体" w:hAnsi="宋体" w:eastAsia="宋体" w:cs="宋体"/>
                <w:bCs/>
                <w:color w:val="auto"/>
                <w:sz w:val="24"/>
                <w:szCs w:val="24"/>
                <w:highlight w:val="none"/>
                <w:lang w:val="zh-CN"/>
              </w:rPr>
              <w:t>开标注意事项</w:t>
            </w:r>
          </w:p>
        </w:tc>
        <w:tc>
          <w:tcPr>
            <w:tcW w:w="7308" w:type="dxa"/>
            <w:noWrap w:val="0"/>
            <w:vAlign w:val="center"/>
          </w:tcPr>
          <w:p w14:paraId="2C8BF1D3">
            <w:pPr>
              <w:pStyle w:val="105"/>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bCs/>
                <w:color w:val="auto"/>
                <w:kern w:val="2"/>
                <w:szCs w:val="24"/>
                <w:highlight w:val="none"/>
              </w:rPr>
              <w:t>供应商参加开标会时须携带以下资料供查验：若为法定代表人到场的提供法定代表人的身份证原件和法定代表人身份证明书原件，若为授权委托代理人到场的提供授权委托代理人的身份证原件和有效的授权委托书原件。</w:t>
            </w:r>
          </w:p>
        </w:tc>
      </w:tr>
    </w:tbl>
    <w:p w14:paraId="6BD08420">
      <w:pPr>
        <w:rPr>
          <w:rFonts w:hint="eastAsia" w:ascii="宋体" w:hAnsi="宋体" w:eastAsia="宋体" w:cs="宋体"/>
          <w:color w:val="auto"/>
          <w:szCs w:val="24"/>
          <w:highlight w:val="none"/>
        </w:rPr>
      </w:pPr>
    </w:p>
    <w:p w14:paraId="45306216">
      <w:pPr>
        <w:pStyle w:val="3"/>
        <w:spacing w:before="20" w:after="20"/>
        <w:ind w:firstLine="241" w:firstLineChars="100"/>
        <w:jc w:val="center"/>
        <w:rPr>
          <w:rFonts w:hint="eastAsia" w:ascii="宋体" w:hAnsi="宋体" w:eastAsia="宋体" w:cs="宋体"/>
          <w:color w:val="auto"/>
          <w:sz w:val="24"/>
          <w:szCs w:val="24"/>
          <w:highlight w:val="none"/>
        </w:rPr>
      </w:pPr>
    </w:p>
    <w:p w14:paraId="3D0CE7B7">
      <w:pPr>
        <w:pStyle w:val="3"/>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58" w:name="_Toc15784"/>
      <w:r>
        <w:rPr>
          <w:rFonts w:hint="eastAsia" w:ascii="宋体" w:hAnsi="宋体" w:eastAsia="宋体" w:cs="宋体"/>
          <w:b/>
          <w:color w:val="auto"/>
          <w:kern w:val="0"/>
          <w:sz w:val="24"/>
          <w:szCs w:val="24"/>
          <w:highlight w:val="none"/>
          <w:lang w:val="en-US" w:eastAsia="zh-CN" w:bidi="ar-SA"/>
        </w:rPr>
        <w:t>（二）供应商资格</w:t>
      </w:r>
      <w:bookmarkEnd w:id="58"/>
    </w:p>
    <w:bookmarkEnd w:id="54"/>
    <w:p w14:paraId="49FF4BB1">
      <w:pPr>
        <w:pStyle w:val="40"/>
        <w:spacing w:line="520" w:lineRule="exact"/>
        <w:ind w:firstLine="480" w:firstLineChars="200"/>
        <w:rPr>
          <w:rFonts w:hint="eastAsia" w:ascii="宋体" w:hAnsi="宋体" w:eastAsia="宋体" w:cs="宋体"/>
          <w:color w:val="auto"/>
          <w:highlight w:val="none"/>
          <w:lang w:val="en-US"/>
        </w:rPr>
      </w:pPr>
      <w:bookmarkStart w:id="59" w:name="_Toc363199266"/>
      <w:bookmarkStart w:id="60" w:name="_Toc216158625"/>
      <w:bookmarkStart w:id="61" w:name="_Toc438648662"/>
      <w:r>
        <w:rPr>
          <w:rFonts w:hint="eastAsia" w:ascii="宋体" w:hAnsi="宋体" w:eastAsia="宋体" w:cs="宋体"/>
          <w:color w:val="auto"/>
          <w:highlight w:val="none"/>
        </w:rPr>
        <w:t>见本项目采购公告</w:t>
      </w:r>
      <w:r>
        <w:rPr>
          <w:rFonts w:hint="eastAsia" w:ascii="宋体" w:hAnsi="宋体" w:eastAsia="宋体" w:cs="宋体"/>
          <w:color w:val="auto"/>
          <w:kern w:val="0"/>
          <w:sz w:val="24"/>
          <w:szCs w:val="24"/>
          <w:highlight w:val="none"/>
          <w:lang w:val="en-US" w:eastAsia="zh-CN"/>
        </w:rPr>
        <w:t>。</w:t>
      </w:r>
    </w:p>
    <w:p w14:paraId="08C6099A">
      <w:pPr>
        <w:pStyle w:val="3"/>
        <w:spacing w:before="156" w:beforeLines="50" w:after="156" w:afterLines="50" w:line="520" w:lineRule="exact"/>
        <w:jc w:val="center"/>
        <w:rPr>
          <w:rFonts w:hint="eastAsia" w:ascii="宋体" w:hAnsi="宋体" w:eastAsia="宋体" w:cs="宋体"/>
          <w:color w:val="auto"/>
          <w:sz w:val="24"/>
          <w:szCs w:val="24"/>
          <w:highlight w:val="none"/>
        </w:rPr>
      </w:pPr>
      <w:bookmarkStart w:id="62" w:name="_Toc8088"/>
      <w:r>
        <w:rPr>
          <w:rFonts w:hint="eastAsia" w:ascii="宋体" w:hAnsi="宋体" w:eastAsia="宋体" w:cs="宋体"/>
          <w:color w:val="auto"/>
          <w:sz w:val="24"/>
          <w:szCs w:val="24"/>
          <w:highlight w:val="none"/>
        </w:rPr>
        <w:t>（三）供应商必须提交的响应文件内容</w:t>
      </w:r>
      <w:bookmarkEnd w:id="59"/>
      <w:bookmarkEnd w:id="60"/>
      <w:bookmarkEnd w:id="61"/>
      <w:bookmarkEnd w:id="62"/>
    </w:p>
    <w:p w14:paraId="34A4A9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4"/>
          <w:szCs w:val="24"/>
        </w:rPr>
      </w:pPr>
      <w:bookmarkStart w:id="63" w:name="_Toc14220"/>
      <w:r>
        <w:rPr>
          <w:rFonts w:hint="eastAsia" w:ascii="宋体" w:hAnsi="宋体" w:eastAsia="宋体" w:cs="宋体"/>
          <w:color w:val="auto"/>
          <w:szCs w:val="24"/>
          <w:highlight w:val="none"/>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报价单</w:t>
      </w:r>
    </w:p>
    <w:p w14:paraId="014909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供应商基本信息</w:t>
      </w:r>
    </w:p>
    <w:p w14:paraId="46E76E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磋商授权书</w:t>
      </w:r>
    </w:p>
    <w:p w14:paraId="32B0DA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磋商响应函</w:t>
      </w:r>
    </w:p>
    <w:p w14:paraId="7ED54F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无重大违法记录声明函、无不良信用记录承诺函</w:t>
      </w:r>
    </w:p>
    <w:p w14:paraId="5E11B9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响应情况表</w:t>
      </w:r>
    </w:p>
    <w:p w14:paraId="5B80D3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技术标部分评审内容（按评分办法顺序编入响应文件并标注页码）</w:t>
      </w:r>
    </w:p>
    <w:p w14:paraId="30024F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磋商文件要求和供应商认为需要提供的其它说明和资料</w:t>
      </w:r>
    </w:p>
    <w:p w14:paraId="1211A140">
      <w:pPr>
        <w:pStyle w:val="3"/>
        <w:spacing w:before="156" w:beforeLines="50" w:after="156" w:afterLines="50"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（四）响应文件的</w:t>
      </w:r>
      <w:r>
        <w:rPr>
          <w:rFonts w:hint="eastAsia" w:ascii="宋体" w:hAnsi="宋体" w:eastAsia="宋体" w:cs="宋体"/>
          <w:color w:val="auto"/>
          <w:sz w:val="24"/>
          <w:szCs w:val="24"/>
          <w:highlight w:val="none"/>
          <w:lang w:val="en-US" w:eastAsia="zh-CN"/>
        </w:rPr>
        <w:t>密封和</w:t>
      </w:r>
      <w:r>
        <w:rPr>
          <w:rFonts w:hint="eastAsia" w:ascii="宋体" w:hAnsi="宋体" w:eastAsia="宋体" w:cs="宋体"/>
          <w:color w:val="auto"/>
          <w:sz w:val="24"/>
          <w:szCs w:val="24"/>
          <w:highlight w:val="none"/>
        </w:rPr>
        <w:t>提交</w:t>
      </w:r>
      <w:bookmarkEnd w:id="63"/>
    </w:p>
    <w:bookmarkEnd w:id="55"/>
    <w:bookmarkEnd w:id="56"/>
    <w:p w14:paraId="748A9BAA">
      <w:pPr>
        <w:tabs>
          <w:tab w:val="left" w:pos="900"/>
        </w:tabs>
        <w:spacing w:line="520" w:lineRule="exact"/>
        <w:ind w:firstLine="480" w:firstLineChars="200"/>
        <w:jc w:val="left"/>
        <w:rPr>
          <w:rFonts w:hint="eastAsia" w:ascii="宋体" w:hAnsi="宋体" w:eastAsia="宋体" w:cs="宋体"/>
          <w:color w:val="auto"/>
          <w:sz w:val="24"/>
          <w:szCs w:val="24"/>
          <w:highlight w:val="none"/>
        </w:rPr>
      </w:pPr>
      <w:bookmarkStart w:id="64" w:name="_Toc15950"/>
      <w:r>
        <w:rPr>
          <w:rFonts w:hint="eastAsia" w:ascii="宋体" w:hAnsi="宋体" w:eastAsia="宋体" w:cs="宋体"/>
          <w:color w:val="auto"/>
          <w:sz w:val="24"/>
          <w:szCs w:val="24"/>
          <w:highlight w:val="none"/>
        </w:rPr>
        <w:t>1、响应文件的密封和标记</w:t>
      </w:r>
    </w:p>
    <w:p w14:paraId="4A12F28A">
      <w:pPr>
        <w:tabs>
          <w:tab w:val="left" w:pos="900"/>
        </w:tabs>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1.1响应文件应密封并应在封口处加盖供应商单位公章。</w:t>
      </w:r>
    </w:p>
    <w:p w14:paraId="758B1A22">
      <w:pPr>
        <w:tabs>
          <w:tab w:val="left" w:pos="900"/>
        </w:tabs>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1.2供应商可在响应文件密封袋表面粘贴“封面贴”，将采购项目编号、项目名称、单位名称信息写在封面贴上。</w:t>
      </w:r>
    </w:p>
    <w:p w14:paraId="663B9020">
      <w:pPr>
        <w:tabs>
          <w:tab w:val="left" w:pos="900"/>
        </w:tabs>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2、响应文件的提交</w:t>
      </w:r>
    </w:p>
    <w:p w14:paraId="1F34179B">
      <w:pPr>
        <w:tabs>
          <w:tab w:val="left" w:pos="900"/>
        </w:tabs>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2.1供应商应按须知前附表规定的时间、地点，于响应文件提交截止时间前现场签到并提交响应文件。</w:t>
      </w:r>
    </w:p>
    <w:p w14:paraId="763D6692">
      <w:pPr>
        <w:tabs>
          <w:tab w:val="left" w:pos="900"/>
        </w:tabs>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2.2在采购文件规定的响应文件提交截止时间以后递交的响应文件将不予接收。</w:t>
      </w:r>
    </w:p>
    <w:p w14:paraId="069CE3D1">
      <w:pPr>
        <w:pStyle w:val="3"/>
        <w:spacing w:before="156" w:beforeLines="50" w:after="156" w:afterLines="50" w:line="500" w:lineRule="exact"/>
        <w:jc w:val="center"/>
        <w:rPr>
          <w:rFonts w:hint="eastAsia" w:ascii="宋体" w:hAnsi="宋体" w:eastAsia="宋体" w:cs="宋体"/>
          <w:color w:val="auto"/>
          <w:sz w:val="24"/>
          <w:szCs w:val="24"/>
          <w:highlight w:val="none"/>
        </w:rPr>
      </w:pPr>
      <w:bookmarkStart w:id="65" w:name="_Toc7318"/>
      <w:r>
        <w:rPr>
          <w:rFonts w:hint="eastAsia" w:ascii="宋体" w:hAnsi="宋体" w:eastAsia="宋体" w:cs="宋体"/>
          <w:color w:val="auto"/>
          <w:sz w:val="24"/>
          <w:szCs w:val="24"/>
          <w:highlight w:val="none"/>
        </w:rPr>
        <w:t>（五）磋商程序</w:t>
      </w:r>
      <w:bookmarkEnd w:id="64"/>
      <w:bookmarkEnd w:id="65"/>
    </w:p>
    <w:p w14:paraId="0A704DA2">
      <w:pPr>
        <w:tabs>
          <w:tab w:val="left" w:pos="900"/>
        </w:tabs>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1、磋商人员是按规定组成的三人或三人以上的磋商小组。</w:t>
      </w:r>
    </w:p>
    <w:p w14:paraId="0364702F">
      <w:pPr>
        <w:tabs>
          <w:tab w:val="left" w:pos="900"/>
        </w:tabs>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2、在掌握了供应商的基本情况后，磋商小组与供应商分别进行磋商。</w:t>
      </w:r>
    </w:p>
    <w:p w14:paraId="69D6A7F0">
      <w:pPr>
        <w:tabs>
          <w:tab w:val="left" w:pos="900"/>
        </w:tabs>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3、磋商是分别单独进行的。供应商不得与其他参与磋商的供应商相互串通；磋商小组也不得将与某一供应商的磋商情况向其他供应商及其关系人透露。</w:t>
      </w:r>
    </w:p>
    <w:p w14:paraId="5FB66069">
      <w:pPr>
        <w:tabs>
          <w:tab w:val="left" w:pos="900"/>
        </w:tabs>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4、磋商采用一轮磋商、两轮报价的方式进行。但最终采取多少轮磋商，由磋商小组视情况而定。</w:t>
      </w:r>
    </w:p>
    <w:p w14:paraId="2224D56E">
      <w:pPr>
        <w:tabs>
          <w:tab w:val="left" w:pos="900"/>
        </w:tabs>
        <w:spacing w:line="520" w:lineRule="exact"/>
        <w:ind w:firstLine="482" w:firstLineChars="200"/>
        <w:jc w:val="left"/>
        <w:rPr>
          <w:rFonts w:hint="eastAsia" w:ascii="宋体" w:hAnsi="宋体" w:eastAsia="宋体" w:cs="宋体"/>
          <w:b/>
          <w:color w:val="auto"/>
          <w:sz w:val="24"/>
          <w:szCs w:val="24"/>
          <w:highlight w:val="none"/>
        </w:rPr>
      </w:pPr>
      <w:bookmarkStart w:id="66" w:name="_Toc8817"/>
      <w:bookmarkStart w:id="67" w:name="_Toc6912"/>
      <w:r>
        <w:rPr>
          <w:rFonts w:hint="eastAsia" w:ascii="宋体" w:hAnsi="宋体" w:eastAsia="宋体" w:cs="宋体"/>
          <w:b/>
          <w:color w:val="auto"/>
          <w:sz w:val="24"/>
          <w:szCs w:val="24"/>
          <w:highlight w:val="none"/>
        </w:rPr>
        <w:t>5、磋商结束后，磋商小组将要求所有符合条件的供应商在规定的时间（30分钟内）内进行最后的报价，未在规定时间（30分钟内）进行最后报价的供应商，按不响应采购文件处理。</w:t>
      </w:r>
      <w:bookmarkEnd w:id="66"/>
      <w:bookmarkEnd w:id="67"/>
      <w:r>
        <w:rPr>
          <w:rFonts w:hint="eastAsia" w:ascii="宋体" w:hAnsi="宋体" w:eastAsia="宋体" w:cs="宋体"/>
          <w:b/>
          <w:color w:val="auto"/>
          <w:sz w:val="24"/>
          <w:szCs w:val="24"/>
          <w:highlight w:val="none"/>
        </w:rPr>
        <w:t>最后一轮报价即为最终报价，价格分计算和合同签订均以最终报价为准。</w:t>
      </w:r>
    </w:p>
    <w:p w14:paraId="79E239F3">
      <w:pPr>
        <w:tabs>
          <w:tab w:val="left" w:pos="900"/>
        </w:tabs>
        <w:spacing w:line="52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6、供应商必须在规定的时间内将自己在磋商中作出的澄清、变动以及最终的报价，以书面纸质方式提交给磋商小组。</w:t>
      </w:r>
    </w:p>
    <w:p w14:paraId="2FC358A0">
      <w:pPr>
        <w:pStyle w:val="3"/>
        <w:spacing w:before="156" w:beforeLines="50" w:after="156" w:afterLines="50" w:line="520" w:lineRule="exact"/>
        <w:jc w:val="center"/>
        <w:rPr>
          <w:rFonts w:hint="eastAsia" w:ascii="宋体" w:hAnsi="宋体" w:eastAsia="宋体" w:cs="宋体"/>
          <w:color w:val="auto"/>
          <w:sz w:val="24"/>
          <w:szCs w:val="24"/>
          <w:highlight w:val="none"/>
        </w:rPr>
      </w:pPr>
      <w:bookmarkStart w:id="68" w:name="_Toc7501"/>
      <w:bookmarkStart w:id="69" w:name="_Toc29753"/>
      <w:r>
        <w:rPr>
          <w:rFonts w:hint="eastAsia" w:ascii="宋体" w:hAnsi="宋体" w:eastAsia="宋体" w:cs="宋体"/>
          <w:color w:val="auto"/>
          <w:sz w:val="24"/>
          <w:szCs w:val="24"/>
          <w:highlight w:val="none"/>
        </w:rPr>
        <w:t>（六）评审及异常情况处理</w:t>
      </w:r>
      <w:bookmarkEnd w:id="68"/>
      <w:bookmarkEnd w:id="69"/>
    </w:p>
    <w:p w14:paraId="6DE29ECF">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1、磋商小组将遵循公平、公正的原则，对供应商最终提交的确认价进行综合评审，根据得分由高到低顺序推荐不少于3名成交候选供应商。</w:t>
      </w:r>
    </w:p>
    <w:p w14:paraId="48D4D1F6">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2、磋商时出现以下情况之一的，将予以废标：</w:t>
      </w:r>
    </w:p>
    <w:p w14:paraId="46D8CF74">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（1）符合专业条件的供应商或者对采购文件作实质性响应的供应商不足三家的（若采购项目是政府购买服务项目只有2家的，竞争性磋商活动可以继续进行）；</w:t>
      </w:r>
    </w:p>
    <w:p w14:paraId="363B8D36">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（2）供应商的报价均超过了采购预算，经过多轮磋商仍不能降到预算内、且采购人不能支付的；</w:t>
      </w:r>
    </w:p>
    <w:p w14:paraId="76A8E98D">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（3）经过磋商，供应商所提供的服务仍无法满足磋商文件实质性要求、影响工作的；</w:t>
      </w:r>
    </w:p>
    <w:p w14:paraId="3739C057">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（4）出现影响采购公正的违法、违规行为的；</w:t>
      </w:r>
    </w:p>
    <w:p w14:paraId="2181AC52">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（5）因重大变故，采购任务取消的。</w:t>
      </w:r>
    </w:p>
    <w:p w14:paraId="0C5B55C2">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3、重新组织磋商，采购单位将通过六安市自然资源和规划局官网(https://zrzy.luan.gov.cn/)进行公告。</w:t>
      </w:r>
    </w:p>
    <w:p w14:paraId="59A9AA89">
      <w:pPr>
        <w:pStyle w:val="3"/>
        <w:spacing w:before="156" w:beforeLines="50" w:after="156" w:afterLines="50" w:line="520" w:lineRule="exact"/>
        <w:jc w:val="center"/>
        <w:rPr>
          <w:rFonts w:hint="eastAsia" w:ascii="宋体" w:hAnsi="宋体" w:eastAsia="宋体" w:cs="宋体"/>
          <w:color w:val="auto"/>
          <w:sz w:val="24"/>
          <w:szCs w:val="24"/>
          <w:highlight w:val="none"/>
        </w:rPr>
      </w:pPr>
      <w:bookmarkStart w:id="70" w:name="_Toc28859"/>
      <w:r>
        <w:rPr>
          <w:rFonts w:hint="eastAsia" w:ascii="宋体" w:hAnsi="宋体" w:eastAsia="宋体" w:cs="宋体"/>
          <w:color w:val="auto"/>
          <w:sz w:val="24"/>
          <w:szCs w:val="24"/>
          <w:highlight w:val="none"/>
        </w:rPr>
        <w:t>（七）报价响应及答疑</w:t>
      </w:r>
      <w:bookmarkEnd w:id="70"/>
    </w:p>
    <w:p w14:paraId="201A9189">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自行对本项目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14FD393D">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、供应商应确保其所提供的响应资料的真实性、有效性及合法性，否则，由此引起的任何责任由其自行承担。</w:t>
      </w:r>
    </w:p>
    <w:p w14:paraId="74014BC6">
      <w:pPr>
        <w:pStyle w:val="3"/>
        <w:spacing w:before="156" w:beforeLines="50" w:after="156" w:afterLines="50" w:line="520" w:lineRule="exact"/>
        <w:jc w:val="center"/>
        <w:rPr>
          <w:rFonts w:hint="eastAsia" w:ascii="宋体" w:hAnsi="宋体" w:eastAsia="宋体" w:cs="宋体"/>
          <w:color w:val="auto"/>
          <w:sz w:val="24"/>
          <w:szCs w:val="24"/>
          <w:highlight w:val="none"/>
        </w:rPr>
      </w:pPr>
      <w:bookmarkStart w:id="71" w:name="_Toc27112"/>
      <w:r>
        <w:rPr>
          <w:rFonts w:hint="eastAsia" w:ascii="宋体" w:hAnsi="宋体" w:eastAsia="宋体" w:cs="宋体"/>
          <w:color w:val="auto"/>
          <w:sz w:val="24"/>
          <w:szCs w:val="24"/>
          <w:highlight w:val="none"/>
        </w:rPr>
        <w:t>（八）合同的签订</w:t>
      </w:r>
      <w:bookmarkEnd w:id="71"/>
    </w:p>
    <w:p w14:paraId="093ADC33">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C3C3FF9">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Arial"/>
          <w:color w:val="auto"/>
          <w:sz w:val="24"/>
          <w:szCs w:val="24"/>
          <w:highlight w:val="none"/>
        </w:rPr>
        <w:t>2、</w:t>
      </w:r>
      <w:r>
        <w:rPr>
          <w:rFonts w:ascii="宋体" w:hAnsi="宋体" w:eastAsia="宋体" w:cs="Arial"/>
          <w:color w:val="auto"/>
          <w:sz w:val="24"/>
          <w:szCs w:val="24"/>
          <w:highlight w:val="none"/>
        </w:rPr>
        <w:t>采购</w:t>
      </w:r>
      <w:r>
        <w:rPr>
          <w:rFonts w:hint="eastAsia" w:ascii="宋体" w:hAnsi="宋体" w:eastAsia="宋体" w:cs="Arial"/>
          <w:color w:val="auto"/>
          <w:sz w:val="24"/>
          <w:szCs w:val="24"/>
          <w:highlight w:val="none"/>
        </w:rPr>
        <w:t>单位</w:t>
      </w:r>
      <w:r>
        <w:rPr>
          <w:rFonts w:ascii="宋体" w:hAnsi="宋体" w:eastAsia="宋体" w:cs="Arial"/>
          <w:color w:val="auto"/>
          <w:sz w:val="24"/>
          <w:szCs w:val="24"/>
          <w:highlight w:val="none"/>
        </w:rPr>
        <w:t>在签订合同时，可以在不改变合同其他条款的前提下变更采购数量，但变更的金额不得超过成交总价的10%。</w:t>
      </w:r>
    </w:p>
    <w:p w14:paraId="73919504">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、成交供应商因不可抗力或者自身原因不能在规定的时间内与采购人签订采购合同，采购人可以与排在成交供应商后第一位的候选供应商签订采购合同，以此类推或重新组织采购。</w:t>
      </w:r>
    </w:p>
    <w:p w14:paraId="0301BBC4">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、因政策变化等原因不能签订合同，造成企业合法利益受损的情形，采购人可以与供应商充分协商，给予合理补偿。</w:t>
      </w:r>
    </w:p>
    <w:p w14:paraId="5CAD35EA">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、在签订合同时，供应商书面明确表示无需预付款或者主动要求降低预付款比例的，采购人可不适用前述（即付款方式）规定。</w:t>
      </w:r>
    </w:p>
    <w:p w14:paraId="4CB580A7">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、采购文件和合同中没有约定预付款的，经供应商申请，采购人可以支付预付款。</w:t>
      </w:r>
    </w:p>
    <w:p w14:paraId="210A4590">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、采购人可根据项目特点、供应商诚信等因素，要求供应商提交银行、保险公司、担保公司等金融机构出具的预付款保函或其他担保措施。</w:t>
      </w:r>
    </w:p>
    <w:p w14:paraId="616E70C3">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、政府采购预付款应在合同、担保措施生效以及具备实施条件后5个工作日内支付。</w:t>
      </w:r>
    </w:p>
    <w:p w14:paraId="75E5C4DE">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、延迟支付中小企业款项的，供应商可要求采购人按照合同约定支付逾期利息，合同没有约定的，按照同期人民银行LPR支付逾期利息。</w:t>
      </w:r>
    </w:p>
    <w:p w14:paraId="38F1418C">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、成交供应商无正当理由不与采购人订立合同的处罚依据：</w:t>
      </w:r>
    </w:p>
    <w:p w14:paraId="5CC8E871">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（1）参照《中华人民共和国政府采购法实施条例》</w:t>
      </w:r>
    </w:p>
    <w:p w14:paraId="2D8375A1">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第七十二条 供应商有下列情形之一的，依照政府采购法第七十七条第一款的规定追究法律责任：</w:t>
      </w:r>
    </w:p>
    <w:p w14:paraId="68208F84">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（一）向评标委员会、竞争性谈判小组或者询价小组成员行贿或者提供其他不正当利益；</w:t>
      </w:r>
    </w:p>
    <w:p w14:paraId="5895A153">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）中标或者成交后无正当理由拒不与采购人签订政府采购合同；</w:t>
      </w:r>
    </w:p>
    <w:p w14:paraId="75C377B1">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）未按照采购文件确定的事项签订政府采购合同；</w:t>
      </w:r>
    </w:p>
    <w:p w14:paraId="3A5E9910">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）将政府采购合同转包；</w:t>
      </w:r>
    </w:p>
    <w:p w14:paraId="3192D0B9">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）提供假冒伪劣产品；</w:t>
      </w:r>
    </w:p>
    <w:p w14:paraId="7B2453AA">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）擅自变更、中止或者终止政府采购合同。</w:t>
      </w:r>
    </w:p>
    <w:p w14:paraId="3D30ED42">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324646B9">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4"/>
          <w:highlight w:val="none"/>
        </w:rPr>
        <w:t>参照</w:t>
      </w:r>
      <w:r>
        <w:rPr>
          <w:rFonts w:hint="eastAsia" w:ascii="宋体" w:hAnsi="宋体" w:eastAsia="宋体" w:cs="宋体"/>
          <w:color w:val="auto"/>
          <w:highlight w:val="none"/>
        </w:rPr>
        <w:t>《中华人民共和国政府采购法》</w:t>
      </w:r>
    </w:p>
    <w:p w14:paraId="5EB7458C">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0FE345">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（一）提供虚假材料谋取中标、成交的；</w:t>
      </w:r>
    </w:p>
    <w:p w14:paraId="25F4D44E">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（二）采取不正当手段诋毁、排挤其他供应商的；</w:t>
      </w:r>
    </w:p>
    <w:p w14:paraId="479E3D4E">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（三）与采购人、其他供应商或者采购代理机构恶意串通的；</w:t>
      </w:r>
    </w:p>
    <w:p w14:paraId="717B5231">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（四）向采购人、采购代理机构行贿或者提供其他不正当利益的；</w:t>
      </w:r>
    </w:p>
    <w:p w14:paraId="69CD0A2E">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（五）在招标采购过程中与采购人进行协商谈判的；</w:t>
      </w:r>
    </w:p>
    <w:p w14:paraId="30D2D42A">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（六）拒绝有关部门监督检查或者提供虚假情况的。</w:t>
      </w:r>
    </w:p>
    <w:p w14:paraId="10798333">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供应商有前款第（一）至（五）项情形之一的，中标、成交无效。</w:t>
      </w:r>
    </w:p>
    <w:p w14:paraId="670F4885">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（3）参照《政府采购非招标采购方式管理办法》（财政部令第74号）</w:t>
      </w:r>
    </w:p>
    <w:p w14:paraId="770DB2B0">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第五十四条 成交供应商有下列情形之一的，责令限期整改，情节严重的，列入不良行为记录名单，在1至3年内禁止参加政府采购活动，并予以通报：</w:t>
      </w:r>
    </w:p>
    <w:p w14:paraId="3E78994A">
      <w:pPr>
        <w:pStyle w:val="40"/>
        <w:spacing w:after="0"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（一）未按照采购文件确定的事项签订政府采购合同，或者与采购人另行订立背离合同实质性内容的协议的；</w:t>
      </w:r>
    </w:p>
    <w:p w14:paraId="296D5758">
      <w:pPr>
        <w:pStyle w:val="40"/>
        <w:spacing w:after="0" w:line="52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（二）成交后无正当理由不与采购人签订合同的；</w:t>
      </w:r>
    </w:p>
    <w:p w14:paraId="01C8416E">
      <w:pPr>
        <w:pStyle w:val="40"/>
        <w:spacing w:after="0" w:line="52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（三）拒绝履行合同义务的。</w:t>
      </w:r>
    </w:p>
    <w:p w14:paraId="5007CB2B">
      <w:pPr>
        <w:pStyle w:val="40"/>
        <w:spacing w:after="0" w:line="520" w:lineRule="exact"/>
        <w:ind w:firstLine="480" w:firstLineChars="200"/>
        <w:rPr>
          <w:rFonts w:hint="eastAsia" w:ascii="宋体" w:hAnsi="宋体" w:eastAsia="宋体" w:cs="宋体"/>
          <w:color w:val="auto"/>
          <w:szCs w:val="24"/>
          <w:highlight w:val="none"/>
        </w:rPr>
      </w:pPr>
    </w:p>
    <w:p w14:paraId="601B0EC8">
      <w:pPr>
        <w:pStyle w:val="3"/>
        <w:spacing w:before="156" w:beforeLines="50" w:after="156" w:afterLines="50" w:line="520" w:lineRule="exact"/>
        <w:jc w:val="center"/>
        <w:rPr>
          <w:rFonts w:hint="eastAsia" w:ascii="宋体" w:hAnsi="宋体" w:eastAsia="宋体" w:cs="宋体"/>
          <w:color w:val="auto"/>
          <w:sz w:val="24"/>
          <w:szCs w:val="24"/>
          <w:highlight w:val="none"/>
        </w:rPr>
      </w:pPr>
      <w:bookmarkStart w:id="72" w:name="_Toc1910"/>
      <w:r>
        <w:rPr>
          <w:rFonts w:hint="eastAsia" w:ascii="宋体" w:hAnsi="宋体" w:eastAsia="宋体" w:cs="宋体"/>
          <w:color w:val="auto"/>
          <w:sz w:val="24"/>
          <w:szCs w:val="24"/>
          <w:highlight w:val="none"/>
        </w:rPr>
        <w:t>（九）澄清及变更</w:t>
      </w:r>
      <w:bookmarkEnd w:id="72"/>
    </w:p>
    <w:p w14:paraId="18D840BD">
      <w:pPr>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磋商文件如有澄清及变更，将以网上公告形式发布，请供应商及时关注。</w:t>
      </w:r>
    </w:p>
    <w:p w14:paraId="5F80D06C">
      <w:pPr>
        <w:pStyle w:val="3"/>
        <w:spacing w:before="156" w:beforeLines="50" w:after="156" w:afterLines="50" w:line="520" w:lineRule="exact"/>
        <w:jc w:val="center"/>
        <w:rPr>
          <w:rFonts w:hint="eastAsia" w:ascii="宋体" w:hAnsi="宋体" w:eastAsia="宋体" w:cs="宋体"/>
          <w:color w:val="auto"/>
          <w:sz w:val="24"/>
          <w:szCs w:val="24"/>
          <w:highlight w:val="none"/>
        </w:rPr>
      </w:pPr>
      <w:bookmarkStart w:id="73" w:name="_Toc21500"/>
      <w:r>
        <w:rPr>
          <w:rFonts w:hint="eastAsia" w:ascii="宋体" w:hAnsi="宋体" w:eastAsia="宋体" w:cs="宋体"/>
          <w:color w:val="auto"/>
          <w:sz w:val="24"/>
          <w:szCs w:val="24"/>
          <w:highlight w:val="none"/>
        </w:rPr>
        <w:t>（十）质疑</w:t>
      </w:r>
      <w:bookmarkEnd w:id="73"/>
    </w:p>
    <w:p w14:paraId="478B5831">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1、质疑人认为磋商结果使自己的权益受到损害的，可以向采购人及采购代理机构提出质疑。质疑实行实名制，应当有具体的事项及根据，不得进行虚假、恶意质疑，扰乱公共资源交易活动的正常工作秩序。</w:t>
      </w:r>
    </w:p>
    <w:p w14:paraId="648F5AEA">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2、质疑应在规定时限内提出： </w:t>
      </w:r>
    </w:p>
    <w:p w14:paraId="68B17696">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对政府采购中标结果的质疑，应在中标结果公布之日起七个工作日内提出。</w:t>
      </w:r>
    </w:p>
    <w:p w14:paraId="1E758505">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3、质疑应以书面形式实名提出，书面质疑材料应当包括以下内容：</w:t>
      </w:r>
    </w:p>
    <w:p w14:paraId="03646929">
      <w:pPr>
        <w:widowControl/>
        <w:spacing w:line="52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3.1质疑人的名称、地址、有效联系方式；</w:t>
      </w:r>
    </w:p>
    <w:p w14:paraId="3F5C4CE4">
      <w:pPr>
        <w:widowControl/>
        <w:spacing w:line="52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3.2项目名称、项目编号、包别号（如有）；</w:t>
      </w:r>
    </w:p>
    <w:p w14:paraId="25C3D1F2">
      <w:pPr>
        <w:widowControl/>
        <w:spacing w:line="52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3.3被质疑人名称；</w:t>
      </w:r>
    </w:p>
    <w:p w14:paraId="5FA21594">
      <w:pPr>
        <w:widowControl/>
        <w:spacing w:line="52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3.4具体的质疑事项、基本事实及必要的证明材料；</w:t>
      </w:r>
    </w:p>
    <w:p w14:paraId="564D9907">
      <w:pPr>
        <w:widowControl/>
        <w:spacing w:line="52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3.5明确的请求及主张；</w:t>
      </w:r>
    </w:p>
    <w:p w14:paraId="30728E2C">
      <w:pPr>
        <w:widowControl/>
        <w:spacing w:line="52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3.6提起质疑的日期。</w:t>
      </w:r>
    </w:p>
    <w:p w14:paraId="543D3F51">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质疑人为法人或者其他组织的，应当由法定代表人或其委托代理人（需有委托授权书）签字并加盖公章。</w:t>
      </w:r>
    </w:p>
    <w:p w14:paraId="1C698D75">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质疑人需要修改、补充质疑材料的，应当在质疑期内提交修改或补充材料。</w:t>
      </w:r>
    </w:p>
    <w:p w14:paraId="62EF0B26">
      <w:pPr>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4、有下列情形之一的，不予受理：</w:t>
      </w:r>
    </w:p>
    <w:p w14:paraId="4549F7E4">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4.1提起质疑的主体不是参与该政府采购项目活动的供应商；</w:t>
      </w:r>
    </w:p>
    <w:p w14:paraId="65B99FA0">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4.2提起质疑的时间超过规定时限的；</w:t>
      </w:r>
    </w:p>
    <w:p w14:paraId="77D24F4F">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4.3质疑材料不完整的；</w:t>
      </w:r>
    </w:p>
    <w:p w14:paraId="611FA7FF">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4.4质疑事项含有主观猜测等内容且未提供有效线索、难以查证的；</w:t>
      </w:r>
    </w:p>
    <w:p w14:paraId="466D2DE8">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4.5对其他投标供应商的响应文件详细内容质疑，无法提供合法来源渠道的；</w:t>
      </w:r>
    </w:p>
    <w:p w14:paraId="72890898">
      <w:pPr>
        <w:widowControl/>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4.6质疑事项已进入投诉处理、行政复议或行政诉讼程序的。</w:t>
      </w:r>
    </w:p>
    <w:p w14:paraId="5A906A89">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3FB844A8">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6、质疑人在答复期满前撤回质疑的，应由法定代表人或授权代表人签字确认，即终止质疑处理程序。质疑人不得以同一理由再次提出质疑。</w:t>
      </w:r>
    </w:p>
    <w:p w14:paraId="7FFFD977">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质疑人对质疑答复不满意或采购人及采购代理机构未在规定时间内做出答复的，可以在规定期限内向相关监督管理部门提起投诉。</w:t>
      </w:r>
    </w:p>
    <w:p w14:paraId="4CECD833">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质疑人应在答复期满后十五个工作日内提起投诉。</w:t>
      </w:r>
    </w:p>
    <w:p w14:paraId="0F8AC0A2">
      <w:pPr>
        <w:pStyle w:val="40"/>
        <w:spacing w:line="560" w:lineRule="exact"/>
        <w:rPr>
          <w:rFonts w:hint="eastAsia" w:ascii="宋体" w:hAnsi="宋体" w:eastAsia="宋体" w:cs="宋体"/>
          <w:bCs/>
          <w:color w:val="auto"/>
          <w:szCs w:val="24"/>
          <w:highlight w:val="none"/>
        </w:rPr>
      </w:pPr>
      <w:r>
        <w:rPr>
          <w:rFonts w:hint="eastAsia" w:ascii="宋体" w:hAnsi="宋体" w:eastAsia="宋体" w:cs="宋体"/>
          <w:bCs/>
          <w:color w:val="auto"/>
          <w:highlight w:val="none"/>
        </w:rPr>
        <w:t>7、</w:t>
      </w:r>
      <w:bookmarkStart w:id="74" w:name="_Toc216158630"/>
      <w:r>
        <w:rPr>
          <w:rFonts w:hint="eastAsia" w:ascii="宋体" w:hAnsi="宋体" w:eastAsia="宋体" w:cs="宋体"/>
          <w:bCs/>
          <w:color w:val="auto"/>
          <w:szCs w:val="24"/>
          <w:highlight w:val="none"/>
        </w:rPr>
        <w:t>投诉人在全国范围12个月内三次以上投诉查无实据的，由财政部门列入不良行为记录名单。</w:t>
      </w:r>
    </w:p>
    <w:p w14:paraId="1DF959FB">
      <w:pPr>
        <w:pStyle w:val="40"/>
        <w:spacing w:line="560" w:lineRule="exac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投诉人有下列行为之一的，属于虚假、恶意投诉，由财政部门列入不良行为记录名单，禁止其1至3年内参加政府采购活动：</w:t>
      </w:r>
    </w:p>
    <w:p w14:paraId="4A1E6146">
      <w:pPr>
        <w:pStyle w:val="40"/>
        <w:spacing w:line="560" w:lineRule="exac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（一）捏造事实;</w:t>
      </w:r>
    </w:p>
    <w:p w14:paraId="0939CDA1">
      <w:pPr>
        <w:pStyle w:val="40"/>
        <w:spacing w:line="560" w:lineRule="exac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（二）提供虚假材料;</w:t>
      </w:r>
    </w:p>
    <w:p w14:paraId="47ABB293">
      <w:pPr>
        <w:pStyle w:val="40"/>
        <w:spacing w:line="560" w:lineRule="exac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（三）以非法手段取得证明材料。证据来源的合法性存在明显疑问，投诉人无法证明其取得方式合法的，视为以非法手段取得证明材料。</w:t>
      </w:r>
    </w:p>
    <w:p w14:paraId="71F482A1">
      <w:pPr>
        <w:pStyle w:val="40"/>
        <w:spacing w:line="56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8、本项目在采购过程中，任何</w:t>
      </w:r>
      <w:r>
        <w:rPr>
          <w:rFonts w:hint="eastAsia" w:ascii="宋体" w:hAnsi="宋体" w:eastAsia="宋体" w:cs="宋体"/>
          <w:bCs/>
          <w:color w:val="auto"/>
          <w:highlight w:val="none"/>
          <w:lang w:val="en-US" w:eastAsia="zh-CN"/>
        </w:rPr>
        <w:t>质疑</w:t>
      </w:r>
      <w:r>
        <w:rPr>
          <w:rFonts w:hint="eastAsia" w:ascii="宋体" w:hAnsi="宋体" w:eastAsia="宋体" w:cs="宋体"/>
          <w:bCs/>
          <w:color w:val="auto"/>
          <w:highlight w:val="none"/>
        </w:rPr>
        <w:t>投诉等事项均由采购人负责处理。</w:t>
      </w:r>
    </w:p>
    <w:p w14:paraId="26299642">
      <w:pPr>
        <w:spacing w:line="520" w:lineRule="exact"/>
        <w:ind w:firstLine="560" w:firstLineChars="200"/>
        <w:rPr>
          <w:rFonts w:hint="eastAsia" w:ascii="宋体" w:hAnsi="宋体" w:eastAsia="宋体" w:cs="宋体"/>
          <w:color w:val="auto"/>
          <w:sz w:val="28"/>
          <w:szCs w:val="28"/>
          <w:highlight w:val="none"/>
        </w:rPr>
      </w:pPr>
    </w:p>
    <w:p w14:paraId="53B64EDE">
      <w:pPr>
        <w:rPr>
          <w:rFonts w:hint="eastAsia" w:ascii="宋体" w:hAnsi="宋体" w:eastAsia="宋体" w:cs="宋体"/>
          <w:color w:val="auto"/>
          <w:sz w:val="28"/>
          <w:szCs w:val="28"/>
          <w:highlight w:val="none"/>
        </w:rPr>
      </w:pPr>
    </w:p>
    <w:p w14:paraId="49A27C3B">
      <w:pPr>
        <w:pStyle w:val="3"/>
        <w:bidi w:val="0"/>
        <w:jc w:val="center"/>
        <w:rPr>
          <w:rFonts w:hint="eastAsia" w:ascii="宋体" w:hAnsi="宋体" w:eastAsia="宋体" w:cs="宋体"/>
          <w:color w:val="auto"/>
          <w:highlight w:val="none"/>
        </w:rPr>
      </w:pPr>
      <w:bookmarkStart w:id="75" w:name="_Toc32137"/>
      <w:r>
        <w:rPr>
          <w:rFonts w:hint="eastAsia" w:ascii="宋体" w:hAnsi="宋体" w:eastAsia="宋体" w:cs="宋体"/>
          <w:b/>
          <w:bCs/>
          <w:i w:val="0"/>
          <w:iCs w:val="0"/>
          <w:color w:val="auto"/>
          <w:sz w:val="28"/>
          <w:szCs w:val="28"/>
          <w:highlight w:val="none"/>
        </w:rPr>
        <w:t>二、采购合同</w:t>
      </w:r>
      <w:bookmarkEnd w:id="74"/>
      <w:bookmarkEnd w:id="75"/>
      <w:bookmarkStart w:id="76" w:name="_Toc363199273"/>
    </w:p>
    <w:p w14:paraId="28905A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由成交供应商与采购人自行拟定。</w:t>
      </w:r>
    </w:p>
    <w:p w14:paraId="79FB0E78">
      <w:pPr>
        <w:spacing w:line="360" w:lineRule="auto"/>
        <w:jc w:val="center"/>
        <w:rPr>
          <w:rFonts w:hint="eastAsia" w:ascii="宋体" w:hAnsi="宋体" w:eastAsia="宋体" w:cs="宋体"/>
          <w:color w:val="auto"/>
          <w:sz w:val="24"/>
          <w:szCs w:val="24"/>
          <w:highlight w:val="none"/>
        </w:rPr>
      </w:pPr>
    </w:p>
    <w:p w14:paraId="60EE51D9">
      <w:pPr>
        <w:spacing w:line="360" w:lineRule="auto"/>
        <w:jc w:val="center"/>
        <w:rPr>
          <w:rFonts w:hint="eastAsia" w:ascii="宋体" w:hAnsi="宋体" w:eastAsia="宋体" w:cs="宋体"/>
          <w:color w:val="auto"/>
          <w:sz w:val="24"/>
          <w:szCs w:val="24"/>
          <w:highlight w:val="none"/>
        </w:rPr>
      </w:pPr>
    </w:p>
    <w:p w14:paraId="31EDA9D1">
      <w:pPr>
        <w:spacing w:line="360" w:lineRule="auto"/>
        <w:jc w:val="both"/>
        <w:rPr>
          <w:rFonts w:hint="eastAsia" w:ascii="宋体" w:hAnsi="宋体" w:eastAsia="宋体" w:cs="宋体"/>
          <w:color w:val="auto"/>
          <w:sz w:val="24"/>
          <w:szCs w:val="24"/>
          <w:highlight w:val="none"/>
        </w:rPr>
      </w:pPr>
    </w:p>
    <w:p w14:paraId="79199A59">
      <w:pPr>
        <w:jc w:val="left"/>
        <w:rPr>
          <w:rFonts w:hint="eastAsia" w:ascii="宋体" w:hAnsi="宋体" w:eastAsia="宋体" w:cs="宋体"/>
          <w:color w:val="auto"/>
          <w:sz w:val="24"/>
          <w:szCs w:val="24"/>
          <w:highlight w:val="none"/>
        </w:rPr>
      </w:pPr>
    </w:p>
    <w:p w14:paraId="611D06A8">
      <w:pPr>
        <w:pStyle w:val="2"/>
        <w:keepNext/>
        <w:keepLines/>
        <w:pageBreakBefore w:val="0"/>
        <w:widowControl w:val="0"/>
        <w:numPr>
          <w:ilvl w:val="0"/>
          <w:numId w:val="4"/>
        </w:numPr>
        <w:kinsoku/>
        <w:wordWrap/>
        <w:overflowPunct/>
        <w:topLinePunct w:val="0"/>
        <w:autoSpaceDE/>
        <w:autoSpaceDN/>
        <w:bidi w:val="0"/>
        <w:adjustRightInd w:val="0"/>
        <w:snapToGrid/>
        <w:spacing w:before="0" w:after="0" w:line="360" w:lineRule="auto"/>
        <w:jc w:val="center"/>
        <w:textAlignment w:val="baseline"/>
        <w:outlineLvl w:val="0"/>
        <w:rPr>
          <w:rFonts w:hint="eastAsia" w:ascii="宋体" w:hAnsi="宋体" w:eastAsia="宋体" w:cs="宋体"/>
          <w:b/>
          <w:bCs/>
          <w:color w:val="auto"/>
          <w:sz w:val="28"/>
          <w:szCs w:val="28"/>
          <w:highlight w:val="none"/>
        </w:rPr>
      </w:pPr>
      <w:bookmarkStart w:id="77" w:name="_Toc6002"/>
      <w:r>
        <w:rPr>
          <w:rFonts w:hint="eastAsia" w:ascii="宋体" w:hAnsi="宋体" w:eastAsia="宋体" w:cs="宋体"/>
          <w:b/>
          <w:bCs/>
          <w:color w:val="auto"/>
          <w:sz w:val="28"/>
          <w:szCs w:val="28"/>
          <w:highlight w:val="none"/>
        </w:rPr>
        <w:t>采购需求</w:t>
      </w:r>
      <w:bookmarkEnd w:id="77"/>
    </w:p>
    <w:bookmarkEnd w:id="76"/>
    <w:p w14:paraId="43474A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trike w:val="0"/>
          <w:dstrike w:val="0"/>
          <w:color w:val="auto"/>
          <w:sz w:val="24"/>
          <w:szCs w:val="24"/>
          <w:lang w:val="en-US" w:eastAsia="zh-CN"/>
        </w:rPr>
      </w:pPr>
      <w:bookmarkStart w:id="78" w:name="_Toc21831"/>
      <w:bookmarkStart w:id="79" w:name="_Toc25911"/>
    </w:p>
    <w:p w14:paraId="3D968D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trike w:val="0"/>
          <w:dstrike w:val="0"/>
          <w:color w:val="auto"/>
          <w:sz w:val="24"/>
          <w:szCs w:val="24"/>
          <w:lang w:val="en-US" w:eastAsia="zh-CN"/>
        </w:rPr>
      </w:pPr>
      <w:r>
        <w:rPr>
          <w:rFonts w:hint="eastAsia" w:ascii="宋体" w:hAnsi="宋体" w:cs="宋体"/>
          <w:b/>
          <w:bCs/>
          <w:strike w:val="0"/>
          <w:dstrike w:val="0"/>
          <w:color w:val="auto"/>
          <w:sz w:val="24"/>
          <w:szCs w:val="24"/>
          <w:lang w:val="en-US" w:eastAsia="zh-CN"/>
        </w:rPr>
        <w:t>一、</w:t>
      </w:r>
      <w:r>
        <w:rPr>
          <w:rFonts w:hint="eastAsia" w:ascii="宋体" w:hAnsi="宋体" w:eastAsia="宋体" w:cs="宋体"/>
          <w:b/>
          <w:bCs/>
          <w:strike w:val="0"/>
          <w:dstrike w:val="0"/>
          <w:color w:val="auto"/>
          <w:sz w:val="24"/>
          <w:szCs w:val="24"/>
          <w:lang w:val="en-US" w:eastAsia="zh-CN"/>
        </w:rPr>
        <w:t>本次采购的主要任务</w:t>
      </w:r>
    </w:p>
    <w:p w14:paraId="517AE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一）采矿权实地勘测定界。委托专业技术队伍对市级拟出让采矿权范围和市级发证采矿权审批（如采矿权新立、变更登记等）开展实地勘测定界，核实是否与依法公布的自然保护地、生态保护红线等限制禁止勘查开采区域重叠，对存在重叠的提出调整建议。</w:t>
      </w:r>
    </w:p>
    <w:p w14:paraId="3C24C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二）采矿权超层越界开采动态监测。对市级发证采矿权开采情况进行全覆盖式的动态监测，其中对地热、矿泉水采矿权开展1次动态监测，对建筑石料矿、饰面石材矿、石煤矿等有效期内正常生产的露天开采采矿权开展2次动态监测，对即将到期且停产和刚到期已停产的采矿权开展1次动态监测，核实是否存在超层越界开采违法行为，对采矿权标识牌、拐点界桩等完整性进行巡查，并出具核查报告。</w:t>
      </w:r>
    </w:p>
    <w:p w14:paraId="0B6C5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（三）长期停产、基建采矿权巡查。对18宗长期停产、基建采矿权开展2次巡查，出具巡查报告。</w:t>
      </w:r>
    </w:p>
    <w:p w14:paraId="40D4A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p>
    <w:p w14:paraId="27F93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p>
    <w:p w14:paraId="05B46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p>
    <w:p w14:paraId="77158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p>
    <w:p w14:paraId="271569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p>
    <w:p w14:paraId="3D70C4B8">
      <w:pPr>
        <w:rPr>
          <w:rFonts w:hint="eastAsia" w:ascii="宋体" w:hAnsi="宋体" w:eastAsia="宋体" w:cs="宋体"/>
          <w:b/>
          <w:bCs/>
          <w:color w:val="auto"/>
          <w:sz w:val="28"/>
          <w:szCs w:val="28"/>
          <w:highlight w:val="none"/>
        </w:rPr>
      </w:pPr>
      <w:bookmarkStart w:id="80" w:name="_Toc31290"/>
    </w:p>
    <w:p w14:paraId="35E6388E">
      <w:pPr>
        <w:rPr>
          <w:rFonts w:hint="eastAsia" w:ascii="宋体" w:hAnsi="宋体" w:eastAsia="宋体" w:cs="宋体"/>
          <w:b/>
          <w:bCs/>
          <w:color w:val="auto"/>
          <w:sz w:val="28"/>
          <w:szCs w:val="28"/>
          <w:highlight w:val="none"/>
        </w:rPr>
      </w:pPr>
    </w:p>
    <w:p w14:paraId="7D4BAFED">
      <w:pPr>
        <w:pStyle w:val="2"/>
        <w:keepNext/>
        <w:keepLines/>
        <w:pageBreakBefore w:val="0"/>
        <w:widowControl w:val="0"/>
        <w:kinsoku/>
        <w:wordWrap/>
        <w:overflowPunct/>
        <w:topLinePunct w:val="0"/>
        <w:autoSpaceDE/>
        <w:autoSpaceDN/>
        <w:bidi w:val="0"/>
        <w:adjustRightInd w:val="0"/>
        <w:snapToGrid/>
        <w:spacing w:before="0" w:after="156" w:afterLines="50" w:line="580" w:lineRule="exact"/>
        <w:jc w:val="center"/>
        <w:textAlignment w:val="baseline"/>
        <w:outlineLvl w:val="0"/>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t>四、评分标准</w:t>
      </w:r>
      <w:bookmarkEnd w:id="78"/>
      <w:bookmarkEnd w:id="79"/>
      <w:bookmarkEnd w:id="80"/>
    </w:p>
    <w:p w14:paraId="7C0CF89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1、本次磋商采用百分制评分法，</w:t>
      </w:r>
      <w:r>
        <w:rPr>
          <w:rFonts w:hint="eastAsia" w:ascii="宋体" w:hAnsi="宋体" w:eastAsia="宋体" w:cs="宋体"/>
          <w:color w:val="auto"/>
          <w:sz w:val="24"/>
          <w:szCs w:val="24"/>
          <w:highlight w:val="none"/>
          <w:lang w:val="en-US" w:eastAsia="zh-CN"/>
        </w:rPr>
        <w:t>技术标分值占总分值的权重为90%；</w:t>
      </w:r>
      <w:r>
        <w:rPr>
          <w:rFonts w:hint="eastAsia" w:ascii="宋体" w:hAnsi="宋体" w:eastAsia="宋体" w:cs="宋体"/>
          <w:b w:val="0"/>
          <w:bCs w:val="0"/>
          <w:color w:val="auto"/>
          <w:sz w:val="24"/>
          <w:szCs w:val="24"/>
          <w:highlight w:val="none"/>
          <w:lang w:val="en-US" w:eastAsia="zh-CN"/>
        </w:rPr>
        <w:t>价格分值占总分值的</w:t>
      </w:r>
      <w:r>
        <w:rPr>
          <w:rFonts w:hint="eastAsia" w:ascii="宋体" w:hAnsi="宋体" w:eastAsia="宋体" w:cs="宋体"/>
          <w:color w:val="auto"/>
          <w:sz w:val="24"/>
          <w:szCs w:val="24"/>
          <w:highlight w:val="none"/>
        </w:rPr>
        <w:t>权重</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%，经评审满足磋商文件要求且最</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报价最低的价格为</w:t>
      </w:r>
      <w:r>
        <w:rPr>
          <w:rFonts w:hint="eastAsia" w:ascii="宋体" w:hAnsi="宋体" w:eastAsia="宋体" w:cs="宋体"/>
          <w:color w:val="auto"/>
          <w:kern w:val="0"/>
          <w:sz w:val="24"/>
          <w:szCs w:val="24"/>
          <w:highlight w:val="none"/>
        </w:rPr>
        <w:t>评标基准价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对应供应商的</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为满分，得</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分。其他供应商的价格分统一按照下列公式计算：</w:t>
      </w:r>
    </w:p>
    <w:p w14:paraId="3ABCAD32">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价格得分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基准价/最</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磋商报价）×</w:t>
      </w: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en-US" w:eastAsia="zh-CN"/>
        </w:rPr>
        <w:t>100</w:t>
      </w:r>
      <w:r>
        <w:rPr>
          <w:rFonts w:hint="eastAsia" w:ascii="宋体" w:hAnsi="宋体" w:eastAsia="宋体" w:cs="宋体"/>
          <w:color w:val="auto"/>
          <w:sz w:val="24"/>
          <w:szCs w:val="24"/>
          <w:highlight w:val="none"/>
        </w:rPr>
        <w:t>。</w:t>
      </w:r>
    </w:p>
    <w:p w14:paraId="4A8A793D">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注：超过最高限价的最后磋商报价为无效报价，按废标处理。</w:t>
      </w:r>
    </w:p>
    <w:p w14:paraId="0C6C5A14">
      <w:pPr>
        <w:pStyle w:val="16"/>
        <w:spacing w:line="4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具体评分细则如下：</w:t>
      </w:r>
    </w:p>
    <w:tbl>
      <w:tblPr>
        <w:tblStyle w:val="43"/>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8"/>
        <w:gridCol w:w="645"/>
      </w:tblGrid>
      <w:tr w14:paraId="10E3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4EFBF2FE">
            <w:pPr>
              <w:bidi w:val="0"/>
              <w:jc w:val="center"/>
              <w:rPr>
                <w:rFonts w:hint="eastAsia" w:ascii="宋体" w:hAnsi="宋体" w:eastAsia="宋体" w:cs="宋体"/>
                <w:sz w:val="24"/>
                <w:szCs w:val="24"/>
              </w:rPr>
            </w:pPr>
            <w:r>
              <w:rPr>
                <w:rFonts w:hint="eastAsia" w:ascii="宋体" w:hAnsi="宋体" w:eastAsia="宋体" w:cs="宋体"/>
                <w:sz w:val="24"/>
                <w:szCs w:val="24"/>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DA59983">
            <w:pPr>
              <w:bidi w:val="0"/>
              <w:jc w:val="center"/>
              <w:rPr>
                <w:rFonts w:hint="eastAsia" w:ascii="宋体" w:hAnsi="宋体" w:eastAsia="宋体" w:cs="宋体"/>
                <w:sz w:val="24"/>
                <w:szCs w:val="24"/>
              </w:rPr>
            </w:pPr>
            <w:r>
              <w:rPr>
                <w:rFonts w:hint="eastAsia" w:ascii="宋体" w:hAnsi="宋体" w:eastAsia="宋体" w:cs="宋体"/>
                <w:sz w:val="24"/>
                <w:szCs w:val="24"/>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57DD1C4">
            <w:pPr>
              <w:bidi w:val="0"/>
              <w:jc w:val="center"/>
              <w:rPr>
                <w:rFonts w:hint="eastAsia" w:ascii="宋体" w:hAnsi="宋体" w:eastAsia="宋体" w:cs="宋体"/>
                <w:sz w:val="24"/>
                <w:szCs w:val="24"/>
              </w:rPr>
            </w:pPr>
            <w:r>
              <w:rPr>
                <w:rFonts w:hint="eastAsia" w:ascii="宋体" w:hAnsi="宋体" w:eastAsia="宋体" w:cs="宋体"/>
                <w:sz w:val="24"/>
                <w:szCs w:val="24"/>
              </w:rPr>
              <w:t>评分标准</w:t>
            </w:r>
          </w:p>
        </w:tc>
        <w:tc>
          <w:tcPr>
            <w:tcW w:w="653" w:type="dxa"/>
            <w:gridSpan w:val="2"/>
            <w:tcBorders>
              <w:top w:val="single" w:color="auto" w:sz="4" w:space="0"/>
              <w:left w:val="single" w:color="auto" w:sz="4" w:space="0"/>
              <w:bottom w:val="single" w:color="auto" w:sz="4" w:space="0"/>
              <w:right w:val="single" w:color="auto" w:sz="4" w:space="0"/>
            </w:tcBorders>
            <w:noWrap w:val="0"/>
            <w:vAlign w:val="center"/>
          </w:tcPr>
          <w:p w14:paraId="766280DF">
            <w:pPr>
              <w:bidi w:val="0"/>
              <w:jc w:val="center"/>
              <w:rPr>
                <w:rFonts w:hint="eastAsia" w:ascii="宋体" w:hAnsi="宋体" w:eastAsia="宋体" w:cs="宋体"/>
                <w:sz w:val="24"/>
                <w:szCs w:val="24"/>
              </w:rPr>
            </w:pPr>
            <w:r>
              <w:rPr>
                <w:rFonts w:hint="eastAsia" w:ascii="宋体" w:hAnsi="宋体" w:eastAsia="宋体" w:cs="宋体"/>
                <w:sz w:val="24"/>
                <w:szCs w:val="24"/>
              </w:rPr>
              <w:t>分值范围</w:t>
            </w:r>
          </w:p>
        </w:tc>
      </w:tr>
      <w:tr w14:paraId="4428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noWrap w:val="0"/>
            <w:vAlign w:val="center"/>
          </w:tcPr>
          <w:p w14:paraId="28301130">
            <w:pPr>
              <w:bidi w:val="0"/>
              <w:rPr>
                <w:rFonts w:hint="eastAsia" w:ascii="宋体" w:hAnsi="宋体" w:eastAsia="宋体" w:cs="宋体"/>
                <w:sz w:val="24"/>
                <w:szCs w:val="24"/>
              </w:rPr>
            </w:pPr>
            <w:r>
              <w:rPr>
                <w:rFonts w:hint="eastAsia" w:ascii="宋体" w:hAnsi="宋体" w:eastAsia="宋体" w:cs="宋体"/>
                <w:sz w:val="24"/>
                <w:szCs w:val="24"/>
              </w:rPr>
              <w:t>技术标分</w:t>
            </w:r>
          </w:p>
          <w:p w14:paraId="00D719EB">
            <w:pPr>
              <w:bidi w:val="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90</w:t>
            </w:r>
            <w:r>
              <w:rPr>
                <w:rFonts w:hint="eastAsia" w:ascii="宋体" w:hAnsi="宋体" w:eastAsia="宋体" w:cs="宋体"/>
                <w:sz w:val="24"/>
                <w:szCs w:val="24"/>
              </w:rPr>
              <w:t>分）</w:t>
            </w:r>
          </w:p>
        </w:tc>
        <w:tc>
          <w:tcPr>
            <w:tcW w:w="1074" w:type="dxa"/>
            <w:tcBorders>
              <w:top w:val="single" w:color="auto" w:sz="4" w:space="0"/>
              <w:left w:val="single" w:color="auto" w:sz="4" w:space="0"/>
              <w:right w:val="single" w:color="auto" w:sz="4" w:space="0"/>
            </w:tcBorders>
            <w:noWrap w:val="0"/>
            <w:vAlign w:val="center"/>
          </w:tcPr>
          <w:p w14:paraId="2C5EAD47">
            <w:pPr>
              <w:bidi w:val="0"/>
              <w:rPr>
                <w:rFonts w:hint="eastAsia" w:ascii="宋体" w:hAnsi="宋体" w:eastAsia="宋体" w:cs="宋体"/>
                <w:sz w:val="24"/>
                <w:szCs w:val="24"/>
              </w:rPr>
            </w:pPr>
            <w:r>
              <w:rPr>
                <w:rFonts w:hint="eastAsia" w:ascii="宋体" w:hAnsi="宋体" w:eastAsia="宋体" w:cs="宋体"/>
                <w:sz w:val="24"/>
                <w:szCs w:val="24"/>
              </w:rPr>
              <w:t>技术方案</w:t>
            </w:r>
          </w:p>
        </w:tc>
        <w:tc>
          <w:tcPr>
            <w:tcW w:w="6369" w:type="dxa"/>
            <w:tcBorders>
              <w:top w:val="single" w:color="auto" w:sz="4" w:space="0"/>
              <w:left w:val="single" w:color="auto" w:sz="4" w:space="0"/>
              <w:right w:val="single" w:color="auto" w:sz="4" w:space="0"/>
            </w:tcBorders>
            <w:noWrap w:val="0"/>
            <w:vAlign w:val="center"/>
          </w:tcPr>
          <w:p w14:paraId="3EDCA6F1">
            <w:pPr>
              <w:bidi w:val="0"/>
              <w:rPr>
                <w:rFonts w:hint="eastAsia" w:ascii="宋体" w:hAnsi="宋体" w:eastAsia="宋体" w:cs="宋体"/>
                <w:sz w:val="24"/>
                <w:szCs w:val="24"/>
              </w:rPr>
            </w:pPr>
            <w:r>
              <w:rPr>
                <w:rFonts w:hint="eastAsia" w:ascii="宋体" w:hAnsi="宋体" w:eastAsia="宋体" w:cs="宋体"/>
                <w:sz w:val="24"/>
                <w:szCs w:val="24"/>
              </w:rPr>
              <w:t>1、项目认识（0-5分）</w:t>
            </w:r>
          </w:p>
          <w:p w14:paraId="3B2A6D16">
            <w:pPr>
              <w:bidi w:val="0"/>
              <w:rPr>
                <w:rFonts w:hint="eastAsia" w:ascii="宋体" w:hAnsi="宋体" w:eastAsia="宋体" w:cs="宋体"/>
                <w:sz w:val="24"/>
                <w:szCs w:val="24"/>
              </w:rPr>
            </w:pPr>
            <w:r>
              <w:rPr>
                <w:rFonts w:hint="eastAsia" w:ascii="宋体" w:hAnsi="宋体" w:eastAsia="宋体" w:cs="宋体"/>
                <w:sz w:val="24"/>
                <w:szCs w:val="24"/>
              </w:rPr>
              <w:t>对项目背景、现状了解、熟悉程度，由评委综合评定。</w:t>
            </w:r>
          </w:p>
          <w:p w14:paraId="7457D0B9">
            <w:pPr>
              <w:bidi w:val="0"/>
              <w:rPr>
                <w:rFonts w:hint="eastAsia" w:ascii="宋体" w:hAnsi="宋体" w:eastAsia="宋体" w:cs="宋体"/>
                <w:sz w:val="24"/>
                <w:szCs w:val="24"/>
              </w:rPr>
            </w:pPr>
            <w:r>
              <w:rPr>
                <w:rFonts w:hint="eastAsia" w:ascii="宋体" w:hAnsi="宋体" w:eastAsia="宋体" w:cs="宋体"/>
                <w:sz w:val="24"/>
                <w:szCs w:val="24"/>
              </w:rPr>
              <w:t>（1）对项目背景、现状了解透彻的，得5分；</w:t>
            </w:r>
          </w:p>
          <w:p w14:paraId="0D968F04">
            <w:pPr>
              <w:bidi w:val="0"/>
              <w:rPr>
                <w:rFonts w:hint="eastAsia" w:ascii="宋体" w:hAnsi="宋体" w:eastAsia="宋体" w:cs="宋体"/>
                <w:sz w:val="24"/>
                <w:szCs w:val="24"/>
              </w:rPr>
            </w:pPr>
            <w:r>
              <w:rPr>
                <w:rFonts w:hint="eastAsia" w:ascii="宋体" w:hAnsi="宋体" w:eastAsia="宋体" w:cs="宋体"/>
                <w:sz w:val="24"/>
                <w:szCs w:val="24"/>
              </w:rPr>
              <w:t>（2）对项目背景、现状了解情况较好的，得3分；</w:t>
            </w:r>
          </w:p>
          <w:p w14:paraId="511DA10A">
            <w:pPr>
              <w:bidi w:val="0"/>
              <w:rPr>
                <w:rFonts w:hint="eastAsia" w:ascii="宋体" w:hAnsi="宋体" w:eastAsia="宋体" w:cs="宋体"/>
                <w:sz w:val="24"/>
                <w:szCs w:val="24"/>
              </w:rPr>
            </w:pPr>
            <w:r>
              <w:rPr>
                <w:rFonts w:hint="eastAsia" w:ascii="宋体" w:hAnsi="宋体" w:eastAsia="宋体" w:cs="宋体"/>
                <w:sz w:val="24"/>
                <w:szCs w:val="24"/>
              </w:rPr>
              <w:t>（3）对项目背景、现状不够了解、熟悉程度低的，得1分；</w:t>
            </w:r>
          </w:p>
          <w:p w14:paraId="1C8E58F6">
            <w:pPr>
              <w:bidi w:val="0"/>
              <w:rPr>
                <w:rFonts w:hint="eastAsia" w:ascii="宋体" w:hAnsi="宋体" w:eastAsia="宋体" w:cs="宋体"/>
                <w:sz w:val="24"/>
                <w:szCs w:val="24"/>
              </w:rPr>
            </w:pPr>
            <w:r>
              <w:rPr>
                <w:rFonts w:hint="eastAsia" w:ascii="宋体" w:hAnsi="宋体" w:eastAsia="宋体" w:cs="宋体"/>
                <w:sz w:val="24"/>
                <w:szCs w:val="24"/>
              </w:rPr>
              <w:t>（4）无此项不得分。</w:t>
            </w:r>
          </w:p>
          <w:p w14:paraId="04E5318F">
            <w:pPr>
              <w:bidi w:val="0"/>
              <w:rPr>
                <w:rFonts w:hint="eastAsia" w:ascii="宋体" w:hAnsi="宋体" w:eastAsia="宋体" w:cs="宋体"/>
                <w:sz w:val="24"/>
                <w:szCs w:val="24"/>
              </w:rPr>
            </w:pPr>
            <w:r>
              <w:rPr>
                <w:rFonts w:hint="eastAsia" w:ascii="宋体" w:hAnsi="宋体" w:eastAsia="宋体" w:cs="宋体"/>
                <w:sz w:val="24"/>
                <w:szCs w:val="24"/>
              </w:rPr>
              <w:t>2、技术路线（0-5分）</w:t>
            </w:r>
          </w:p>
          <w:p w14:paraId="5D494D5C">
            <w:pPr>
              <w:bidi w:val="0"/>
              <w:rPr>
                <w:rFonts w:hint="eastAsia" w:ascii="宋体" w:hAnsi="宋体" w:eastAsia="宋体" w:cs="宋体"/>
                <w:sz w:val="24"/>
                <w:szCs w:val="24"/>
              </w:rPr>
            </w:pPr>
            <w:r>
              <w:rPr>
                <w:rFonts w:hint="eastAsia" w:ascii="宋体" w:hAnsi="宋体" w:eastAsia="宋体" w:cs="宋体"/>
                <w:sz w:val="24"/>
                <w:szCs w:val="24"/>
              </w:rPr>
              <w:t>目的任务明确，技术路线合理，工作开展思路清晰，调查方法可行性、可操作性强，评价方法科学、适宜本地实际情况；预期成果明确，实用性强。</w:t>
            </w:r>
          </w:p>
          <w:p w14:paraId="3BE18FCB">
            <w:pPr>
              <w:bidi w:val="0"/>
              <w:rPr>
                <w:rFonts w:hint="eastAsia" w:ascii="宋体" w:hAnsi="宋体" w:eastAsia="宋体" w:cs="宋体"/>
                <w:sz w:val="24"/>
                <w:szCs w:val="24"/>
              </w:rPr>
            </w:pPr>
            <w:r>
              <w:rPr>
                <w:rFonts w:hint="eastAsia" w:ascii="宋体" w:hAnsi="宋体" w:eastAsia="宋体" w:cs="宋体"/>
                <w:sz w:val="24"/>
                <w:szCs w:val="24"/>
              </w:rPr>
              <w:t>（1）技术路线合理，工作开展思路清晰，调查方法可行性、操作性高的得5分；</w:t>
            </w:r>
          </w:p>
          <w:p w14:paraId="199FCF0C">
            <w:pPr>
              <w:bidi w:val="0"/>
              <w:rPr>
                <w:rFonts w:hint="eastAsia" w:ascii="宋体" w:hAnsi="宋体" w:eastAsia="宋体" w:cs="宋体"/>
                <w:sz w:val="24"/>
                <w:szCs w:val="24"/>
              </w:rPr>
            </w:pPr>
            <w:r>
              <w:rPr>
                <w:rFonts w:hint="eastAsia" w:ascii="宋体" w:hAnsi="宋体" w:eastAsia="宋体" w:cs="宋体"/>
                <w:sz w:val="24"/>
                <w:szCs w:val="24"/>
              </w:rPr>
              <w:t>（2）技术路线较合理，工作开展思路较清晰，调查方法可行性、操作性较高的得3分；</w:t>
            </w:r>
          </w:p>
          <w:p w14:paraId="4D21AEC6">
            <w:pPr>
              <w:bidi w:val="0"/>
              <w:rPr>
                <w:rFonts w:hint="eastAsia" w:ascii="宋体" w:hAnsi="宋体" w:eastAsia="宋体" w:cs="宋体"/>
                <w:sz w:val="24"/>
                <w:szCs w:val="24"/>
              </w:rPr>
            </w:pPr>
            <w:r>
              <w:rPr>
                <w:rFonts w:hint="eastAsia" w:ascii="宋体" w:hAnsi="宋体" w:eastAsia="宋体" w:cs="宋体"/>
                <w:sz w:val="24"/>
                <w:szCs w:val="24"/>
              </w:rPr>
              <w:t>（3）技术路线不够合理，工作开展思路不够清晰，调查方法可行性、操作性差的得1分；</w:t>
            </w:r>
          </w:p>
          <w:p w14:paraId="7013FBA0">
            <w:pPr>
              <w:bidi w:val="0"/>
              <w:rPr>
                <w:rFonts w:hint="eastAsia" w:ascii="宋体" w:hAnsi="宋体" w:eastAsia="宋体" w:cs="宋体"/>
                <w:sz w:val="24"/>
                <w:szCs w:val="24"/>
              </w:rPr>
            </w:pPr>
            <w:r>
              <w:rPr>
                <w:rFonts w:hint="eastAsia" w:ascii="宋体" w:hAnsi="宋体" w:eastAsia="宋体" w:cs="宋体"/>
                <w:sz w:val="24"/>
                <w:szCs w:val="24"/>
              </w:rPr>
              <w:t>（4）无此项不得分。</w:t>
            </w:r>
          </w:p>
          <w:p w14:paraId="279B28D1">
            <w:pPr>
              <w:bidi w:val="0"/>
              <w:rPr>
                <w:rFonts w:hint="eastAsia" w:ascii="宋体" w:hAnsi="宋体" w:eastAsia="宋体" w:cs="宋体"/>
                <w:sz w:val="24"/>
                <w:szCs w:val="24"/>
              </w:rPr>
            </w:pPr>
            <w:r>
              <w:rPr>
                <w:rFonts w:hint="eastAsia" w:ascii="宋体" w:hAnsi="宋体" w:eastAsia="宋体" w:cs="宋体"/>
                <w:sz w:val="24"/>
                <w:szCs w:val="24"/>
              </w:rPr>
              <w:t>3、安全保证体系及确保检测安全的措施（0-3分）</w:t>
            </w:r>
          </w:p>
          <w:p w14:paraId="782F3029">
            <w:pPr>
              <w:bidi w:val="0"/>
              <w:rPr>
                <w:rFonts w:hint="eastAsia" w:ascii="宋体" w:hAnsi="宋体" w:eastAsia="宋体" w:cs="宋体"/>
                <w:sz w:val="24"/>
                <w:szCs w:val="24"/>
              </w:rPr>
            </w:pPr>
            <w:r>
              <w:rPr>
                <w:rFonts w:hint="eastAsia" w:ascii="宋体" w:hAnsi="宋体" w:eastAsia="宋体" w:cs="宋体"/>
                <w:sz w:val="24"/>
                <w:szCs w:val="24"/>
              </w:rPr>
              <w:t>根据安全保证体系及措施方案是否完备，针对勘查工作中面临的各类安全问题是否分析到位，面临各类突发安全问题时是否有准备充分的预案，由评委综合评定。</w:t>
            </w:r>
          </w:p>
          <w:p w14:paraId="4191DF11">
            <w:pPr>
              <w:bidi w:val="0"/>
              <w:rPr>
                <w:rFonts w:hint="eastAsia" w:ascii="宋体" w:hAnsi="宋体" w:eastAsia="宋体" w:cs="宋体"/>
                <w:sz w:val="24"/>
                <w:szCs w:val="24"/>
              </w:rPr>
            </w:pPr>
            <w:r>
              <w:rPr>
                <w:rFonts w:hint="eastAsia" w:ascii="宋体" w:hAnsi="宋体" w:eastAsia="宋体" w:cs="宋体"/>
                <w:sz w:val="24"/>
                <w:szCs w:val="24"/>
              </w:rPr>
              <w:t>（1）安全保证体系及措施方案完备，各类问题分析透彻，各类安全预案准备充分得3分；</w:t>
            </w:r>
          </w:p>
          <w:p w14:paraId="4DD8CA4C">
            <w:pPr>
              <w:bidi w:val="0"/>
              <w:rPr>
                <w:rFonts w:hint="eastAsia" w:ascii="宋体" w:hAnsi="宋体" w:eastAsia="宋体" w:cs="宋体"/>
                <w:sz w:val="24"/>
                <w:szCs w:val="24"/>
              </w:rPr>
            </w:pPr>
            <w:r>
              <w:rPr>
                <w:rFonts w:hint="eastAsia" w:ascii="宋体" w:hAnsi="宋体" w:eastAsia="宋体" w:cs="宋体"/>
                <w:sz w:val="24"/>
                <w:szCs w:val="24"/>
              </w:rPr>
              <w:t>（2）安全保证体系及措施方案基本完备，各类问题分析基本透彻，各类安全预案准备较为充分得2分；</w:t>
            </w:r>
          </w:p>
          <w:p w14:paraId="2A227F46">
            <w:pPr>
              <w:bidi w:val="0"/>
              <w:rPr>
                <w:rFonts w:hint="eastAsia" w:ascii="宋体" w:hAnsi="宋体" w:eastAsia="宋体" w:cs="宋体"/>
                <w:sz w:val="24"/>
                <w:szCs w:val="24"/>
              </w:rPr>
            </w:pPr>
            <w:r>
              <w:rPr>
                <w:rFonts w:hint="eastAsia" w:ascii="宋体" w:hAnsi="宋体" w:eastAsia="宋体" w:cs="宋体"/>
                <w:sz w:val="24"/>
                <w:szCs w:val="24"/>
              </w:rPr>
              <w:t>（3）安全保证体系及措施方案不尽完备，各类问题分析不够具体，各类安全预案准备不够充分得1分；</w:t>
            </w:r>
          </w:p>
          <w:p w14:paraId="4D53BB23">
            <w:pPr>
              <w:bidi w:val="0"/>
              <w:rPr>
                <w:rFonts w:hint="eastAsia" w:ascii="宋体" w:hAnsi="宋体" w:eastAsia="宋体" w:cs="宋体"/>
                <w:sz w:val="24"/>
                <w:szCs w:val="24"/>
              </w:rPr>
            </w:pPr>
            <w:r>
              <w:rPr>
                <w:rFonts w:hint="eastAsia" w:ascii="宋体" w:hAnsi="宋体" w:eastAsia="宋体" w:cs="宋体"/>
                <w:sz w:val="24"/>
                <w:szCs w:val="24"/>
              </w:rPr>
              <w:t>（4）无此项不得分。</w:t>
            </w:r>
          </w:p>
          <w:p w14:paraId="05509993">
            <w:pPr>
              <w:bidi w:val="0"/>
              <w:rPr>
                <w:rFonts w:hint="eastAsia" w:ascii="宋体" w:hAnsi="宋体" w:eastAsia="宋体" w:cs="宋体"/>
                <w:sz w:val="24"/>
                <w:szCs w:val="24"/>
              </w:rPr>
            </w:pPr>
            <w:r>
              <w:rPr>
                <w:rFonts w:hint="eastAsia" w:ascii="宋体" w:hAnsi="宋体" w:eastAsia="宋体" w:cs="宋体"/>
                <w:sz w:val="24"/>
                <w:szCs w:val="24"/>
              </w:rPr>
              <w:t>4、质量保证体系的措施（0-3分）</w:t>
            </w:r>
          </w:p>
          <w:p w14:paraId="347FBBD5">
            <w:pPr>
              <w:bidi w:val="0"/>
              <w:rPr>
                <w:rFonts w:hint="eastAsia" w:ascii="宋体" w:hAnsi="宋体" w:eastAsia="宋体" w:cs="宋体"/>
                <w:sz w:val="24"/>
                <w:szCs w:val="24"/>
              </w:rPr>
            </w:pPr>
            <w:r>
              <w:rPr>
                <w:rFonts w:hint="eastAsia" w:ascii="宋体" w:hAnsi="宋体" w:eastAsia="宋体" w:cs="宋体"/>
                <w:sz w:val="24"/>
                <w:szCs w:val="24"/>
              </w:rPr>
              <w:t>根据项目勘查方法、技术要求等核查方案相关内容，制定细致严谨的质量保证体系及措施，根据质量保证措施是否科学、高效、合理，由评委综合评定。</w:t>
            </w:r>
          </w:p>
          <w:p w14:paraId="7DAA43B3">
            <w:pPr>
              <w:bidi w:val="0"/>
              <w:rPr>
                <w:rFonts w:hint="eastAsia" w:ascii="宋体" w:hAnsi="宋体" w:eastAsia="宋体" w:cs="宋体"/>
                <w:sz w:val="24"/>
                <w:szCs w:val="24"/>
              </w:rPr>
            </w:pPr>
            <w:r>
              <w:rPr>
                <w:rFonts w:hint="eastAsia" w:ascii="宋体" w:hAnsi="宋体" w:eastAsia="宋体" w:cs="宋体"/>
                <w:sz w:val="24"/>
                <w:szCs w:val="24"/>
              </w:rPr>
              <w:t>（1）质量保证体系及方案科学、高效、合理得3分，</w:t>
            </w:r>
          </w:p>
          <w:p w14:paraId="723E920E">
            <w:pPr>
              <w:bidi w:val="0"/>
              <w:rPr>
                <w:rFonts w:hint="eastAsia" w:ascii="宋体" w:hAnsi="宋体" w:eastAsia="宋体" w:cs="宋体"/>
                <w:sz w:val="24"/>
                <w:szCs w:val="24"/>
              </w:rPr>
            </w:pPr>
            <w:r>
              <w:rPr>
                <w:rFonts w:hint="eastAsia" w:ascii="宋体" w:hAnsi="宋体" w:eastAsia="宋体" w:cs="宋体"/>
                <w:sz w:val="24"/>
                <w:szCs w:val="24"/>
              </w:rPr>
              <w:t>（2）基本科学、高效、合理得2分，</w:t>
            </w:r>
          </w:p>
          <w:p w14:paraId="7CE95FB9">
            <w:pPr>
              <w:bidi w:val="0"/>
              <w:rPr>
                <w:rFonts w:hint="eastAsia" w:ascii="宋体" w:hAnsi="宋体" w:eastAsia="宋体" w:cs="宋体"/>
                <w:sz w:val="24"/>
                <w:szCs w:val="24"/>
              </w:rPr>
            </w:pPr>
            <w:r>
              <w:rPr>
                <w:rFonts w:hint="eastAsia" w:ascii="宋体" w:hAnsi="宋体" w:eastAsia="宋体" w:cs="宋体"/>
                <w:sz w:val="24"/>
                <w:szCs w:val="24"/>
              </w:rPr>
              <w:t>（3）部分科学、高效、合理得1。</w:t>
            </w:r>
          </w:p>
          <w:p w14:paraId="34EF7699">
            <w:pPr>
              <w:bidi w:val="0"/>
              <w:rPr>
                <w:rFonts w:hint="eastAsia" w:ascii="宋体" w:hAnsi="宋体" w:eastAsia="宋体" w:cs="宋体"/>
                <w:sz w:val="24"/>
                <w:szCs w:val="24"/>
                <w:lang w:val="en-US" w:eastAsia="zh-CN"/>
              </w:rPr>
            </w:pPr>
            <w:r>
              <w:rPr>
                <w:rFonts w:hint="eastAsia" w:ascii="宋体" w:hAnsi="宋体" w:eastAsia="宋体" w:cs="宋体"/>
                <w:sz w:val="24"/>
                <w:szCs w:val="24"/>
              </w:rPr>
              <w:t>（4）无此项不得分。</w:t>
            </w:r>
          </w:p>
        </w:tc>
        <w:tc>
          <w:tcPr>
            <w:tcW w:w="653" w:type="dxa"/>
            <w:gridSpan w:val="2"/>
            <w:tcBorders>
              <w:top w:val="single" w:color="auto" w:sz="4" w:space="0"/>
              <w:left w:val="single" w:color="auto" w:sz="4" w:space="0"/>
              <w:right w:val="single" w:color="auto" w:sz="4" w:space="0"/>
            </w:tcBorders>
            <w:noWrap w:val="0"/>
            <w:vAlign w:val="center"/>
          </w:tcPr>
          <w:p w14:paraId="038A43C8">
            <w:pPr>
              <w:bidi w:val="0"/>
              <w:rPr>
                <w:rFonts w:hint="eastAsia" w:ascii="宋体" w:hAnsi="宋体" w:eastAsia="宋体" w:cs="宋体"/>
                <w:sz w:val="24"/>
                <w:szCs w:val="24"/>
              </w:rPr>
            </w:pPr>
            <w:r>
              <w:rPr>
                <w:rFonts w:hint="eastAsia" w:ascii="宋体" w:hAnsi="宋体" w:eastAsia="宋体" w:cs="宋体"/>
                <w:sz w:val="24"/>
                <w:szCs w:val="24"/>
              </w:rPr>
              <w:t>0-16分</w:t>
            </w:r>
          </w:p>
        </w:tc>
      </w:tr>
      <w:tr w14:paraId="7C1B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0A3B584E">
            <w:pPr>
              <w:bidi w:val="0"/>
              <w:rPr>
                <w:rFonts w:hint="eastAsia" w:ascii="宋体" w:hAnsi="宋体" w:eastAsia="宋体" w:cs="宋体"/>
                <w:sz w:val="24"/>
                <w:szCs w:val="24"/>
              </w:rPr>
            </w:pPr>
          </w:p>
        </w:tc>
        <w:tc>
          <w:tcPr>
            <w:tcW w:w="1074" w:type="dxa"/>
            <w:tcBorders>
              <w:left w:val="single" w:color="auto" w:sz="4" w:space="0"/>
              <w:right w:val="single" w:color="auto" w:sz="4" w:space="0"/>
            </w:tcBorders>
            <w:noWrap w:val="0"/>
            <w:vAlign w:val="center"/>
          </w:tcPr>
          <w:p w14:paraId="2395C896">
            <w:pPr>
              <w:bidi w:val="0"/>
              <w:rPr>
                <w:rFonts w:hint="eastAsia" w:ascii="宋体" w:hAnsi="宋体" w:eastAsia="宋体" w:cs="宋体"/>
                <w:sz w:val="24"/>
                <w:szCs w:val="24"/>
              </w:rPr>
            </w:pPr>
            <w:r>
              <w:rPr>
                <w:rFonts w:hint="eastAsia" w:ascii="宋体" w:hAnsi="宋体" w:eastAsia="宋体" w:cs="宋体"/>
                <w:sz w:val="24"/>
                <w:szCs w:val="24"/>
              </w:rPr>
              <w:t>服务方案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1790C4F1">
            <w:pPr>
              <w:bidi w:val="0"/>
              <w:rPr>
                <w:rFonts w:hint="eastAsia" w:ascii="宋体" w:hAnsi="宋体" w:eastAsia="宋体" w:cs="宋体"/>
                <w:sz w:val="24"/>
                <w:szCs w:val="24"/>
              </w:rPr>
            </w:pPr>
            <w:r>
              <w:rPr>
                <w:rFonts w:hint="eastAsia" w:ascii="宋体" w:hAnsi="宋体" w:eastAsia="宋体" w:cs="宋体"/>
                <w:sz w:val="24"/>
                <w:szCs w:val="24"/>
              </w:rPr>
              <w:t>评标委员会根据</w:t>
            </w:r>
            <w:r>
              <w:rPr>
                <w:rFonts w:hint="eastAsia" w:ascii="宋体" w:hAnsi="宋体" w:eastAsia="宋体" w:cs="宋体"/>
                <w:sz w:val="24"/>
                <w:szCs w:val="24"/>
                <w:lang w:eastAsia="zh-CN"/>
              </w:rPr>
              <w:t>供应商</w:t>
            </w:r>
            <w:r>
              <w:rPr>
                <w:rFonts w:hint="eastAsia" w:ascii="宋体" w:hAnsi="宋体" w:eastAsia="宋体" w:cs="宋体"/>
                <w:sz w:val="24"/>
                <w:szCs w:val="24"/>
              </w:rPr>
              <w:t>提供的方案，对下列内容进行逐项评审：</w:t>
            </w:r>
          </w:p>
          <w:p w14:paraId="0B8E4382">
            <w:pPr>
              <w:bidi w:val="0"/>
              <w:rPr>
                <w:rFonts w:hint="eastAsia" w:ascii="宋体" w:hAnsi="宋体" w:eastAsia="宋体" w:cs="宋体"/>
                <w:sz w:val="24"/>
                <w:szCs w:val="24"/>
              </w:rPr>
            </w:pPr>
            <w:r>
              <w:rPr>
                <w:rFonts w:hint="eastAsia" w:ascii="宋体" w:hAnsi="宋体" w:eastAsia="宋体" w:cs="宋体"/>
                <w:sz w:val="24"/>
                <w:szCs w:val="24"/>
              </w:rPr>
              <w:t>1、工作进度计划（0-5分）</w:t>
            </w:r>
          </w:p>
          <w:p w14:paraId="284FA2A4">
            <w:pPr>
              <w:bidi w:val="0"/>
              <w:rPr>
                <w:rFonts w:hint="eastAsia" w:ascii="宋体" w:hAnsi="宋体" w:eastAsia="宋体" w:cs="宋体"/>
                <w:sz w:val="24"/>
                <w:szCs w:val="24"/>
              </w:rPr>
            </w:pPr>
            <w:r>
              <w:rPr>
                <w:rFonts w:hint="eastAsia" w:ascii="宋体" w:hAnsi="宋体" w:eastAsia="宋体" w:cs="宋体"/>
                <w:sz w:val="24"/>
                <w:szCs w:val="24"/>
              </w:rPr>
              <w:t>（1）进度计划科学，得5分；</w:t>
            </w:r>
          </w:p>
          <w:p w14:paraId="0FA267EA">
            <w:pPr>
              <w:bidi w:val="0"/>
              <w:rPr>
                <w:rFonts w:hint="eastAsia" w:ascii="宋体" w:hAnsi="宋体" w:eastAsia="宋体" w:cs="宋体"/>
                <w:sz w:val="24"/>
                <w:szCs w:val="24"/>
              </w:rPr>
            </w:pPr>
            <w:r>
              <w:rPr>
                <w:rFonts w:hint="eastAsia" w:ascii="宋体" w:hAnsi="宋体" w:eastAsia="宋体" w:cs="宋体"/>
                <w:sz w:val="24"/>
                <w:szCs w:val="24"/>
              </w:rPr>
              <w:t>（2）进度计划合理，得3分；</w:t>
            </w:r>
          </w:p>
          <w:p w14:paraId="66B97916">
            <w:pPr>
              <w:bidi w:val="0"/>
              <w:rPr>
                <w:rFonts w:hint="eastAsia" w:ascii="宋体" w:hAnsi="宋体" w:eastAsia="宋体" w:cs="宋体"/>
                <w:sz w:val="24"/>
                <w:szCs w:val="24"/>
              </w:rPr>
            </w:pPr>
            <w:r>
              <w:rPr>
                <w:rFonts w:hint="eastAsia" w:ascii="宋体" w:hAnsi="宋体" w:eastAsia="宋体" w:cs="宋体"/>
                <w:sz w:val="24"/>
                <w:szCs w:val="24"/>
              </w:rPr>
              <w:t>（3）进度计划基本合理，得2分；</w:t>
            </w:r>
          </w:p>
          <w:p w14:paraId="73CFDEE2">
            <w:pPr>
              <w:bidi w:val="0"/>
              <w:rPr>
                <w:rFonts w:hint="eastAsia" w:ascii="宋体" w:hAnsi="宋体" w:eastAsia="宋体" w:cs="宋体"/>
                <w:sz w:val="24"/>
                <w:szCs w:val="24"/>
              </w:rPr>
            </w:pPr>
            <w:r>
              <w:rPr>
                <w:rFonts w:hint="eastAsia" w:ascii="宋体" w:hAnsi="宋体" w:eastAsia="宋体" w:cs="宋体"/>
                <w:sz w:val="24"/>
                <w:szCs w:val="24"/>
              </w:rPr>
              <w:t>（4）进度计划不合理，得0分。</w:t>
            </w:r>
          </w:p>
          <w:p w14:paraId="3AE5007A">
            <w:pPr>
              <w:bidi w:val="0"/>
              <w:rPr>
                <w:rFonts w:hint="eastAsia" w:ascii="宋体" w:hAnsi="宋体" w:eastAsia="宋体" w:cs="宋体"/>
                <w:sz w:val="24"/>
                <w:szCs w:val="24"/>
              </w:rPr>
            </w:pPr>
            <w:r>
              <w:rPr>
                <w:rFonts w:hint="eastAsia" w:ascii="宋体" w:hAnsi="宋体" w:eastAsia="宋体" w:cs="宋体"/>
                <w:sz w:val="24"/>
                <w:szCs w:val="24"/>
              </w:rPr>
              <w:t>2、组织机构配备（0-5分）</w:t>
            </w:r>
          </w:p>
          <w:p w14:paraId="0E2F818E">
            <w:pPr>
              <w:bidi w:val="0"/>
              <w:rPr>
                <w:rFonts w:hint="eastAsia" w:ascii="宋体" w:hAnsi="宋体" w:eastAsia="宋体" w:cs="宋体"/>
                <w:sz w:val="24"/>
                <w:szCs w:val="24"/>
              </w:rPr>
            </w:pPr>
            <w:r>
              <w:rPr>
                <w:rFonts w:hint="eastAsia" w:ascii="宋体" w:hAnsi="宋体" w:eastAsia="宋体" w:cs="宋体"/>
                <w:sz w:val="24"/>
                <w:szCs w:val="24"/>
              </w:rPr>
              <w:t>（1）组织机构配备齐全，完全满足采矿权勘测定界和超层越界开采动态监测技术要求，得5分；</w:t>
            </w:r>
          </w:p>
          <w:p w14:paraId="0DC03536">
            <w:pPr>
              <w:bidi w:val="0"/>
              <w:rPr>
                <w:rFonts w:hint="eastAsia" w:ascii="宋体" w:hAnsi="宋体" w:eastAsia="宋体" w:cs="宋体"/>
                <w:sz w:val="24"/>
                <w:szCs w:val="24"/>
              </w:rPr>
            </w:pPr>
            <w:r>
              <w:rPr>
                <w:rFonts w:hint="eastAsia" w:ascii="宋体" w:hAnsi="宋体" w:eastAsia="宋体" w:cs="宋体"/>
                <w:sz w:val="24"/>
                <w:szCs w:val="24"/>
              </w:rPr>
              <w:t>（2）组织机构配备较齐全，能够较好满足采矿权勘测定界和超层越界开采动态监测要求，得3分；</w:t>
            </w:r>
          </w:p>
          <w:p w14:paraId="5F002A2F">
            <w:pPr>
              <w:bidi w:val="0"/>
              <w:rPr>
                <w:rFonts w:hint="eastAsia" w:ascii="宋体" w:hAnsi="宋体" w:eastAsia="宋体" w:cs="宋体"/>
                <w:sz w:val="24"/>
                <w:szCs w:val="24"/>
              </w:rPr>
            </w:pPr>
            <w:r>
              <w:rPr>
                <w:rFonts w:hint="eastAsia" w:ascii="宋体" w:hAnsi="宋体" w:eastAsia="宋体" w:cs="宋体"/>
                <w:sz w:val="24"/>
                <w:szCs w:val="24"/>
              </w:rPr>
              <w:t>（3）组织机构配备一般，基本满足采矿权勘测定界和超层越界开采动态监测要求，得2分；</w:t>
            </w:r>
          </w:p>
          <w:p w14:paraId="107E067A">
            <w:pPr>
              <w:bidi w:val="0"/>
              <w:rPr>
                <w:rFonts w:hint="eastAsia" w:ascii="宋体" w:hAnsi="宋体" w:eastAsia="宋体" w:cs="宋体"/>
                <w:sz w:val="24"/>
                <w:szCs w:val="24"/>
              </w:rPr>
            </w:pPr>
            <w:r>
              <w:rPr>
                <w:rFonts w:hint="eastAsia" w:ascii="宋体" w:hAnsi="宋体" w:eastAsia="宋体" w:cs="宋体"/>
                <w:sz w:val="24"/>
                <w:szCs w:val="24"/>
              </w:rPr>
              <w:t>（4）组织机构配备不齐全，不满足采矿权勘测定界和超层越界开采动态监测要求，得0分。</w:t>
            </w:r>
          </w:p>
          <w:p w14:paraId="625B16D9">
            <w:pPr>
              <w:bidi w:val="0"/>
              <w:rPr>
                <w:rFonts w:hint="eastAsia" w:ascii="宋体" w:hAnsi="宋体" w:eastAsia="宋体" w:cs="宋体"/>
                <w:sz w:val="24"/>
                <w:szCs w:val="24"/>
              </w:rPr>
            </w:pPr>
            <w:r>
              <w:rPr>
                <w:rFonts w:hint="eastAsia" w:ascii="宋体" w:hAnsi="宋体" w:eastAsia="宋体" w:cs="宋体"/>
                <w:sz w:val="24"/>
                <w:szCs w:val="24"/>
              </w:rPr>
              <w:t>3、技术人员配备（0-5分）</w:t>
            </w:r>
          </w:p>
          <w:p w14:paraId="3C01F344">
            <w:pPr>
              <w:bidi w:val="0"/>
              <w:rPr>
                <w:rFonts w:hint="eastAsia" w:ascii="宋体" w:hAnsi="宋体" w:eastAsia="宋体" w:cs="宋体"/>
                <w:sz w:val="24"/>
                <w:szCs w:val="24"/>
              </w:rPr>
            </w:pPr>
            <w:r>
              <w:rPr>
                <w:rFonts w:hint="eastAsia" w:ascii="宋体" w:hAnsi="宋体" w:eastAsia="宋体" w:cs="宋体"/>
                <w:sz w:val="24"/>
                <w:szCs w:val="24"/>
              </w:rPr>
              <w:t>（1）技术人员配备，完全满足采矿权勘测定界和超层越界开采动态监测要求，得5分；</w:t>
            </w:r>
          </w:p>
          <w:p w14:paraId="266C68F6">
            <w:pPr>
              <w:bidi w:val="0"/>
              <w:rPr>
                <w:rFonts w:hint="eastAsia" w:ascii="宋体" w:hAnsi="宋体" w:eastAsia="宋体" w:cs="宋体"/>
                <w:sz w:val="24"/>
                <w:szCs w:val="24"/>
              </w:rPr>
            </w:pPr>
            <w:r>
              <w:rPr>
                <w:rFonts w:hint="eastAsia" w:ascii="宋体" w:hAnsi="宋体" w:eastAsia="宋体" w:cs="宋体"/>
                <w:sz w:val="24"/>
                <w:szCs w:val="24"/>
              </w:rPr>
              <w:t>（2）技术人员配备较齐全，能够较好满足采矿权勘测定界和超层越界开采动态监测要求，得3分；</w:t>
            </w:r>
          </w:p>
          <w:p w14:paraId="4208291F">
            <w:pPr>
              <w:bidi w:val="0"/>
              <w:rPr>
                <w:rFonts w:hint="eastAsia" w:ascii="宋体" w:hAnsi="宋体" w:eastAsia="宋体" w:cs="宋体"/>
                <w:sz w:val="24"/>
                <w:szCs w:val="24"/>
              </w:rPr>
            </w:pPr>
            <w:r>
              <w:rPr>
                <w:rFonts w:hint="eastAsia" w:ascii="宋体" w:hAnsi="宋体" w:eastAsia="宋体" w:cs="宋体"/>
                <w:sz w:val="24"/>
                <w:szCs w:val="24"/>
              </w:rPr>
              <w:t>（3）技术人员配备一般，基本满足采矿权勘测定界和超层越界开采动态监测要求，得2分；</w:t>
            </w:r>
          </w:p>
          <w:p w14:paraId="4551434E">
            <w:pPr>
              <w:bidi w:val="0"/>
              <w:rPr>
                <w:rFonts w:hint="eastAsia" w:ascii="宋体" w:hAnsi="宋体" w:eastAsia="宋体" w:cs="宋体"/>
                <w:sz w:val="24"/>
                <w:szCs w:val="24"/>
              </w:rPr>
            </w:pPr>
            <w:r>
              <w:rPr>
                <w:rFonts w:hint="eastAsia" w:ascii="宋体" w:hAnsi="宋体" w:eastAsia="宋体" w:cs="宋体"/>
                <w:sz w:val="24"/>
                <w:szCs w:val="24"/>
              </w:rPr>
              <w:t>（4）技术人员配备不齐全，不满足采矿权勘测定界和超层越界开采动态监测要求，得0分。</w:t>
            </w:r>
          </w:p>
        </w:tc>
        <w:tc>
          <w:tcPr>
            <w:tcW w:w="653" w:type="dxa"/>
            <w:gridSpan w:val="2"/>
            <w:tcBorders>
              <w:top w:val="single" w:color="auto" w:sz="4" w:space="0"/>
              <w:left w:val="single" w:color="auto" w:sz="4" w:space="0"/>
              <w:bottom w:val="single" w:color="auto" w:sz="4" w:space="0"/>
              <w:right w:val="single" w:color="auto" w:sz="4" w:space="0"/>
            </w:tcBorders>
            <w:noWrap w:val="0"/>
            <w:vAlign w:val="center"/>
          </w:tcPr>
          <w:p w14:paraId="0D3CCD5F">
            <w:pPr>
              <w:bidi w:val="0"/>
              <w:rPr>
                <w:rFonts w:hint="eastAsia" w:ascii="宋体" w:hAnsi="宋体" w:eastAsia="宋体" w:cs="宋体"/>
                <w:sz w:val="24"/>
                <w:szCs w:val="24"/>
                <w:lang w:val="en-US" w:eastAsia="zh-CN"/>
              </w:rPr>
            </w:pPr>
            <w:r>
              <w:rPr>
                <w:rFonts w:hint="eastAsia" w:ascii="宋体" w:hAnsi="宋体" w:eastAsia="宋体" w:cs="宋体"/>
                <w:sz w:val="24"/>
                <w:szCs w:val="24"/>
              </w:rPr>
              <w:t>0-15分</w:t>
            </w:r>
          </w:p>
        </w:tc>
      </w:tr>
      <w:tr w14:paraId="00F1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7BBBBE25">
            <w:pPr>
              <w:bidi w:val="0"/>
              <w:rPr>
                <w:rFonts w:hint="eastAsia" w:ascii="宋体" w:hAnsi="宋体" w:eastAsia="宋体" w:cs="宋体"/>
                <w:sz w:val="24"/>
                <w:szCs w:val="24"/>
              </w:rPr>
            </w:pPr>
          </w:p>
        </w:tc>
        <w:tc>
          <w:tcPr>
            <w:tcW w:w="1074" w:type="dxa"/>
            <w:tcBorders>
              <w:left w:val="single" w:color="auto" w:sz="4" w:space="0"/>
              <w:right w:val="single" w:color="auto" w:sz="4" w:space="0"/>
            </w:tcBorders>
            <w:noWrap w:val="0"/>
            <w:vAlign w:val="center"/>
          </w:tcPr>
          <w:p w14:paraId="3B99AB38">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p>
          <w:p w14:paraId="33DC939B">
            <w:pPr>
              <w:bidi w:val="0"/>
              <w:rPr>
                <w:rFonts w:hint="eastAsia" w:ascii="宋体" w:hAnsi="宋体" w:eastAsia="宋体" w:cs="宋体"/>
                <w:sz w:val="24"/>
                <w:szCs w:val="24"/>
              </w:rPr>
            </w:pPr>
            <w:r>
              <w:rPr>
                <w:rFonts w:hint="eastAsia" w:ascii="宋体" w:hAnsi="宋体" w:eastAsia="宋体" w:cs="宋体"/>
                <w:sz w:val="24"/>
                <w:szCs w:val="24"/>
              </w:rPr>
              <w:t>体系认证</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D6C6FBC">
            <w:pPr>
              <w:bidi w:val="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同时具有环境管理体系、职业健康安全管理体系、质量管理体系认证证书得</w:t>
            </w:r>
            <w:r>
              <w:rPr>
                <w:rFonts w:hint="eastAsia" w:ascii="宋体" w:hAnsi="宋体" w:eastAsia="宋体" w:cs="宋体"/>
                <w:sz w:val="24"/>
                <w:szCs w:val="24"/>
                <w:lang w:val="en-US" w:eastAsia="zh-CN"/>
              </w:rPr>
              <w:t>9</w:t>
            </w:r>
            <w:r>
              <w:rPr>
                <w:rFonts w:hint="eastAsia" w:ascii="宋体" w:hAnsi="宋体" w:eastAsia="宋体" w:cs="宋体"/>
                <w:sz w:val="24"/>
                <w:szCs w:val="24"/>
              </w:rPr>
              <w:t>分，具有安全生产许可证书得2分，最高得</w:t>
            </w:r>
            <w:r>
              <w:rPr>
                <w:rFonts w:hint="eastAsia" w:ascii="宋体" w:hAnsi="宋体" w:eastAsia="宋体" w:cs="宋体"/>
                <w:sz w:val="24"/>
                <w:szCs w:val="24"/>
                <w:lang w:val="en-US" w:eastAsia="zh-CN"/>
              </w:rPr>
              <w:t>11</w:t>
            </w:r>
            <w:r>
              <w:rPr>
                <w:rFonts w:hint="eastAsia" w:ascii="宋体" w:hAnsi="宋体" w:eastAsia="宋体" w:cs="宋体"/>
                <w:sz w:val="24"/>
                <w:szCs w:val="24"/>
              </w:rPr>
              <w:t>分。</w:t>
            </w:r>
          </w:p>
          <w:p w14:paraId="66A4B079">
            <w:pPr>
              <w:bidi w:val="0"/>
              <w:rPr>
                <w:rFonts w:hint="eastAsia" w:ascii="宋体" w:hAnsi="宋体" w:eastAsia="宋体" w:cs="宋体"/>
                <w:sz w:val="24"/>
                <w:szCs w:val="24"/>
                <w:lang w:val="en-US" w:eastAsia="zh-CN"/>
              </w:rPr>
            </w:pPr>
            <w:r>
              <w:rPr>
                <w:rFonts w:hint="eastAsia" w:ascii="宋体" w:hAnsi="宋体" w:eastAsia="宋体" w:cs="宋体"/>
                <w:sz w:val="24"/>
                <w:szCs w:val="24"/>
              </w:rPr>
              <w:t>备注：提供证书、网站公示截图或其它有效证明材料</w:t>
            </w:r>
            <w:r>
              <w:rPr>
                <w:rFonts w:hint="eastAsia" w:ascii="宋体" w:hAnsi="宋体" w:cs="宋体"/>
                <w:sz w:val="24"/>
                <w:szCs w:val="24"/>
                <w:lang w:val="en-US" w:eastAsia="zh-CN"/>
              </w:rPr>
              <w:t>扫描件</w:t>
            </w:r>
            <w:r>
              <w:rPr>
                <w:rFonts w:hint="eastAsia" w:ascii="宋体" w:hAnsi="宋体" w:eastAsia="宋体" w:cs="宋体"/>
                <w:sz w:val="24"/>
                <w:szCs w:val="24"/>
              </w:rPr>
              <w:t>。</w:t>
            </w:r>
          </w:p>
        </w:tc>
        <w:tc>
          <w:tcPr>
            <w:tcW w:w="653" w:type="dxa"/>
            <w:gridSpan w:val="2"/>
            <w:tcBorders>
              <w:top w:val="single" w:color="auto" w:sz="4" w:space="0"/>
              <w:left w:val="single" w:color="auto" w:sz="4" w:space="0"/>
              <w:bottom w:val="single" w:color="auto" w:sz="4" w:space="0"/>
              <w:right w:val="single" w:color="auto" w:sz="4" w:space="0"/>
            </w:tcBorders>
            <w:noWrap w:val="0"/>
            <w:vAlign w:val="center"/>
          </w:tcPr>
          <w:p w14:paraId="4DD4E307">
            <w:pPr>
              <w:bidi w:val="0"/>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11</w:t>
            </w:r>
            <w:r>
              <w:rPr>
                <w:rFonts w:hint="eastAsia" w:ascii="宋体" w:hAnsi="宋体" w:eastAsia="宋体" w:cs="宋体"/>
                <w:sz w:val="24"/>
                <w:szCs w:val="24"/>
              </w:rPr>
              <w:t>分</w:t>
            </w:r>
          </w:p>
        </w:tc>
      </w:tr>
      <w:tr w14:paraId="0AFE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621D0595">
            <w:pPr>
              <w:bidi w:val="0"/>
              <w:rPr>
                <w:rFonts w:hint="eastAsia" w:ascii="宋体" w:hAnsi="宋体" w:eastAsia="宋体" w:cs="宋体"/>
                <w:sz w:val="24"/>
                <w:szCs w:val="24"/>
              </w:rPr>
            </w:pPr>
          </w:p>
        </w:tc>
        <w:tc>
          <w:tcPr>
            <w:tcW w:w="1074" w:type="dxa"/>
            <w:tcBorders>
              <w:left w:val="single" w:color="auto" w:sz="4" w:space="0"/>
              <w:right w:val="single" w:color="auto" w:sz="4" w:space="0"/>
            </w:tcBorders>
            <w:noWrap w:val="0"/>
            <w:vAlign w:val="center"/>
          </w:tcPr>
          <w:p w14:paraId="2041882E">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p>
          <w:p w14:paraId="15F8A8FE">
            <w:pPr>
              <w:bidi w:val="0"/>
              <w:jc w:val="center"/>
              <w:rPr>
                <w:rFonts w:hint="eastAsia" w:ascii="宋体" w:hAnsi="宋体" w:eastAsia="宋体" w:cs="宋体"/>
                <w:sz w:val="24"/>
                <w:szCs w:val="24"/>
              </w:rPr>
            </w:pPr>
            <w:r>
              <w:rPr>
                <w:rFonts w:hint="eastAsia" w:ascii="宋体" w:hAnsi="宋体" w:eastAsia="宋体" w:cs="宋体"/>
                <w:sz w:val="24"/>
                <w:szCs w:val="24"/>
              </w:rPr>
              <w:t>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1168E097">
            <w:pPr>
              <w:bidi w:val="0"/>
              <w:rPr>
                <w:rFonts w:hint="eastAsia" w:ascii="宋体" w:hAnsi="宋体" w:eastAsia="宋体" w:cs="宋体"/>
                <w:sz w:val="24"/>
                <w:szCs w:val="24"/>
              </w:rPr>
            </w:pPr>
            <w:r>
              <w:rPr>
                <w:rFonts w:hint="eastAsia" w:ascii="宋体" w:hAnsi="宋体" w:eastAsia="宋体" w:cs="宋体"/>
                <w:sz w:val="24"/>
                <w:szCs w:val="24"/>
              </w:rPr>
              <w:t>1、承担过矿产资源规划类项目（项目名称必须包含“矿产资源规划”关键词），一项得5分，本项满分为10分。</w:t>
            </w:r>
          </w:p>
          <w:p w14:paraId="0654CC84">
            <w:pPr>
              <w:bidi w:val="0"/>
              <w:rPr>
                <w:rFonts w:hint="eastAsia" w:ascii="宋体" w:hAnsi="宋体" w:eastAsia="宋体" w:cs="宋体"/>
                <w:sz w:val="24"/>
                <w:szCs w:val="24"/>
              </w:rPr>
            </w:pPr>
            <w:r>
              <w:rPr>
                <w:rFonts w:hint="eastAsia" w:ascii="宋体" w:hAnsi="宋体" w:eastAsia="宋体" w:cs="宋体"/>
                <w:sz w:val="24"/>
                <w:szCs w:val="24"/>
              </w:rPr>
              <w:t>2、承担过同类(采矿权实地勘测定界和超层越界开采动态监测，简称“动态监测”)项目业绩的，一项得5分，本项满分为10分。</w:t>
            </w:r>
          </w:p>
          <w:p w14:paraId="155749DC">
            <w:pPr>
              <w:bidi w:val="0"/>
              <w:rPr>
                <w:rFonts w:hint="eastAsia" w:ascii="宋体" w:hAnsi="宋体" w:eastAsia="宋体" w:cs="宋体"/>
                <w:sz w:val="24"/>
                <w:szCs w:val="24"/>
              </w:rPr>
            </w:pPr>
            <w:r>
              <w:rPr>
                <w:rFonts w:hint="eastAsia" w:ascii="宋体" w:hAnsi="宋体" w:eastAsia="宋体" w:cs="宋体"/>
                <w:sz w:val="24"/>
                <w:szCs w:val="24"/>
              </w:rPr>
              <w:t>3、承担过矿产资源国情调查项目业绩的，一项得</w:t>
            </w:r>
            <w:r>
              <w:rPr>
                <w:rFonts w:hint="eastAsia" w:ascii="宋体" w:hAnsi="宋体" w:eastAsia="宋体" w:cs="宋体"/>
                <w:sz w:val="24"/>
                <w:szCs w:val="24"/>
                <w:lang w:val="en-US" w:eastAsia="zh-CN"/>
              </w:rPr>
              <w:t>5</w:t>
            </w:r>
            <w:r>
              <w:rPr>
                <w:rFonts w:hint="eastAsia" w:ascii="宋体" w:hAnsi="宋体" w:eastAsia="宋体" w:cs="宋体"/>
                <w:sz w:val="24"/>
                <w:szCs w:val="24"/>
              </w:rPr>
              <w:t>分，本项满分为</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65DACC1">
            <w:pPr>
              <w:bidi w:val="0"/>
              <w:rPr>
                <w:rFonts w:hint="eastAsia" w:ascii="宋体" w:hAnsi="宋体" w:eastAsia="宋体" w:cs="宋体"/>
                <w:sz w:val="24"/>
                <w:szCs w:val="24"/>
                <w:lang w:val="en-US" w:eastAsia="zh-CN"/>
              </w:rPr>
            </w:pPr>
            <w:r>
              <w:rPr>
                <w:rFonts w:hint="eastAsia" w:ascii="宋体" w:hAnsi="宋体" w:eastAsia="宋体" w:cs="宋体"/>
                <w:sz w:val="24"/>
                <w:szCs w:val="24"/>
              </w:rPr>
              <w:t>备注：投标时须提供矿产资源规划、动态监测、矿产资源国情调查业绩合同扫描件。</w:t>
            </w:r>
          </w:p>
        </w:tc>
        <w:tc>
          <w:tcPr>
            <w:tcW w:w="653" w:type="dxa"/>
            <w:gridSpan w:val="2"/>
            <w:tcBorders>
              <w:top w:val="single" w:color="auto" w:sz="4" w:space="0"/>
              <w:left w:val="single" w:color="auto" w:sz="4" w:space="0"/>
              <w:bottom w:val="single" w:color="auto" w:sz="4" w:space="0"/>
              <w:right w:val="single" w:color="auto" w:sz="4" w:space="0"/>
            </w:tcBorders>
            <w:noWrap w:val="0"/>
            <w:vAlign w:val="center"/>
          </w:tcPr>
          <w:p w14:paraId="33D1397C">
            <w:pPr>
              <w:bidi w:val="0"/>
              <w:rPr>
                <w:rFonts w:hint="eastAsia" w:ascii="宋体" w:hAnsi="宋体" w:eastAsia="宋体" w:cs="宋体"/>
                <w:sz w:val="24"/>
                <w:szCs w:val="24"/>
                <w:lang w:val="en-US" w:eastAsia="zh-CN"/>
              </w:rPr>
            </w:pPr>
            <w:r>
              <w:rPr>
                <w:rFonts w:hint="eastAsia" w:ascii="宋体" w:hAnsi="宋体" w:eastAsia="宋体" w:cs="宋体"/>
                <w:sz w:val="24"/>
                <w:szCs w:val="24"/>
              </w:rPr>
              <w:t>0-2</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796F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3B6B5BA9">
            <w:pPr>
              <w:bidi w:val="0"/>
              <w:rPr>
                <w:rFonts w:hint="eastAsia" w:ascii="宋体" w:hAnsi="宋体" w:eastAsia="宋体" w:cs="宋体"/>
                <w:sz w:val="24"/>
                <w:szCs w:val="24"/>
              </w:rPr>
            </w:pPr>
          </w:p>
        </w:tc>
        <w:tc>
          <w:tcPr>
            <w:tcW w:w="1074" w:type="dxa"/>
            <w:tcBorders>
              <w:left w:val="single" w:color="auto" w:sz="4" w:space="0"/>
              <w:right w:val="single" w:color="auto" w:sz="4" w:space="0"/>
            </w:tcBorders>
            <w:noWrap w:val="0"/>
            <w:vAlign w:val="center"/>
          </w:tcPr>
          <w:p w14:paraId="517908B3">
            <w:pPr>
              <w:bidi w:val="0"/>
              <w:rPr>
                <w:rFonts w:hint="eastAsia" w:ascii="宋体" w:hAnsi="宋体" w:eastAsia="宋体" w:cs="宋体"/>
                <w:sz w:val="24"/>
                <w:szCs w:val="24"/>
              </w:rPr>
            </w:pPr>
            <w:r>
              <w:rPr>
                <w:rFonts w:hint="eastAsia" w:ascii="宋体" w:hAnsi="宋体" w:eastAsia="宋体" w:cs="宋体"/>
                <w:sz w:val="24"/>
                <w:szCs w:val="24"/>
              </w:rPr>
              <w:t>项目负责人</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1815272">
            <w:pPr>
              <w:bidi w:val="0"/>
              <w:rPr>
                <w:rFonts w:hint="eastAsia" w:ascii="宋体" w:hAnsi="宋体" w:eastAsia="宋体" w:cs="宋体"/>
                <w:sz w:val="24"/>
                <w:szCs w:val="24"/>
              </w:rPr>
            </w:pPr>
            <w:r>
              <w:rPr>
                <w:rFonts w:hint="eastAsia" w:ascii="宋体" w:hAnsi="宋体" w:eastAsia="宋体" w:cs="宋体"/>
                <w:sz w:val="24"/>
                <w:szCs w:val="24"/>
              </w:rPr>
              <w:t>1、项目负责人具有地质矿产类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相关专业）</w:t>
            </w:r>
            <w:r>
              <w:rPr>
                <w:rFonts w:hint="eastAsia" w:ascii="宋体" w:hAnsi="宋体" w:eastAsia="宋体" w:cs="宋体"/>
                <w:sz w:val="24"/>
                <w:szCs w:val="24"/>
              </w:rPr>
              <w:t>副高级职称证书的得1分，具有地质矿产类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相关专业）</w:t>
            </w:r>
            <w:r>
              <w:rPr>
                <w:rFonts w:hint="eastAsia" w:ascii="宋体" w:hAnsi="宋体" w:eastAsia="宋体" w:cs="宋体"/>
                <w:sz w:val="24"/>
                <w:szCs w:val="24"/>
              </w:rPr>
              <w:t>正高级职称证书的得2分，本项满分2分；</w:t>
            </w:r>
          </w:p>
          <w:p w14:paraId="1916EC91">
            <w:pPr>
              <w:bidi w:val="0"/>
              <w:rPr>
                <w:rFonts w:hint="eastAsia" w:ascii="宋体" w:hAnsi="宋体" w:eastAsia="宋体" w:cs="宋体"/>
                <w:sz w:val="24"/>
                <w:szCs w:val="24"/>
                <w:lang w:eastAsia="zh-CN"/>
              </w:rPr>
            </w:pPr>
            <w:r>
              <w:rPr>
                <w:rFonts w:hint="eastAsia" w:ascii="宋体" w:hAnsi="宋体" w:eastAsia="宋体" w:cs="宋体"/>
                <w:sz w:val="24"/>
                <w:szCs w:val="24"/>
              </w:rPr>
              <w:t>2、项目负责人荣誉：项目负责人获得省部级及以上政府部门（含下属学会）颁发的自然资源（或国土资源）科学技术进步奖的：一等奖的，每提供一个荣誉得3分；二等奖的，每提供一个荣誉得2分。本小项满分6分。</w:t>
            </w:r>
          </w:p>
          <w:p w14:paraId="40783ACC">
            <w:pPr>
              <w:bidi w:val="0"/>
              <w:rPr>
                <w:rFonts w:hint="eastAsia" w:ascii="宋体" w:hAnsi="宋体" w:eastAsia="宋体" w:cs="宋体"/>
                <w:sz w:val="24"/>
                <w:szCs w:val="24"/>
                <w:lang w:val="en-US" w:eastAsia="zh-CN"/>
              </w:rPr>
            </w:pPr>
            <w:r>
              <w:rPr>
                <w:rFonts w:hint="eastAsia" w:ascii="宋体" w:hAnsi="宋体" w:eastAsia="宋体" w:cs="宋体"/>
                <w:sz w:val="24"/>
                <w:szCs w:val="24"/>
              </w:rPr>
              <w:t>备注：提供获奖证书或批示或颁奖单位颁奖文件或网上公示截图（具有其中之一即可）等证明材料，以上材料提供扫描件，需能体现人员名称。</w:t>
            </w:r>
          </w:p>
        </w:tc>
        <w:tc>
          <w:tcPr>
            <w:tcW w:w="653" w:type="dxa"/>
            <w:gridSpan w:val="2"/>
            <w:tcBorders>
              <w:top w:val="single" w:color="auto" w:sz="4" w:space="0"/>
              <w:left w:val="single" w:color="auto" w:sz="4" w:space="0"/>
              <w:bottom w:val="single" w:color="auto" w:sz="4" w:space="0"/>
              <w:right w:val="single" w:color="auto" w:sz="4" w:space="0"/>
            </w:tcBorders>
            <w:noWrap w:val="0"/>
            <w:vAlign w:val="center"/>
          </w:tcPr>
          <w:p w14:paraId="451A22D7">
            <w:pPr>
              <w:bidi w:val="0"/>
              <w:rPr>
                <w:rFonts w:hint="eastAsia" w:ascii="宋体" w:hAnsi="宋体" w:eastAsia="宋体" w:cs="宋体"/>
                <w:sz w:val="24"/>
                <w:szCs w:val="24"/>
                <w:lang w:val="en-US" w:eastAsia="zh-CN"/>
              </w:rPr>
            </w:pPr>
            <w:r>
              <w:rPr>
                <w:rFonts w:hint="eastAsia" w:ascii="宋体" w:hAnsi="宋体" w:eastAsia="宋体" w:cs="宋体"/>
                <w:sz w:val="24"/>
                <w:szCs w:val="24"/>
              </w:rPr>
              <w:t>0-8分</w:t>
            </w:r>
          </w:p>
        </w:tc>
      </w:tr>
      <w:tr w14:paraId="1672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0634FA47">
            <w:pPr>
              <w:bidi w:val="0"/>
              <w:rPr>
                <w:rFonts w:hint="eastAsia" w:ascii="宋体" w:hAnsi="宋体" w:eastAsia="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28783D2C">
            <w:pPr>
              <w:bidi w:val="0"/>
              <w:jc w:val="center"/>
              <w:rPr>
                <w:rFonts w:hint="eastAsia" w:ascii="宋体" w:hAnsi="宋体" w:eastAsia="宋体" w:cs="宋体"/>
                <w:sz w:val="24"/>
                <w:szCs w:val="24"/>
              </w:rPr>
            </w:pPr>
            <w:r>
              <w:rPr>
                <w:rFonts w:hint="eastAsia" w:ascii="宋体" w:hAnsi="宋体" w:eastAsia="宋体" w:cs="宋体"/>
                <w:sz w:val="24"/>
                <w:szCs w:val="24"/>
              </w:rPr>
              <w:t>项目组</w:t>
            </w:r>
          </w:p>
          <w:p w14:paraId="5D6B0F81">
            <w:pPr>
              <w:bidi w:val="0"/>
              <w:jc w:val="center"/>
              <w:rPr>
                <w:rFonts w:hint="eastAsia" w:ascii="宋体" w:hAnsi="宋体" w:eastAsia="宋体" w:cs="宋体"/>
                <w:sz w:val="24"/>
                <w:szCs w:val="24"/>
              </w:rPr>
            </w:pPr>
            <w:r>
              <w:rPr>
                <w:rFonts w:hint="eastAsia" w:ascii="宋体" w:hAnsi="宋体" w:eastAsia="宋体" w:cs="宋体"/>
                <w:sz w:val="24"/>
                <w:szCs w:val="24"/>
              </w:rPr>
              <w:t>成员</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4E672F2F">
            <w:pPr>
              <w:bidi w:val="0"/>
              <w:rPr>
                <w:rFonts w:hint="eastAsia" w:ascii="宋体" w:hAnsi="宋体" w:eastAsia="宋体" w:cs="宋体"/>
                <w:sz w:val="24"/>
                <w:szCs w:val="24"/>
              </w:rPr>
            </w:pPr>
            <w:r>
              <w:rPr>
                <w:rFonts w:hint="eastAsia" w:ascii="宋体" w:hAnsi="宋体" w:eastAsia="宋体" w:cs="宋体"/>
                <w:sz w:val="24"/>
                <w:szCs w:val="24"/>
              </w:rPr>
              <w:t>1、项目组成员中（除项目负责人外）具有水工环、地质调查、实验测试、测量</w:t>
            </w:r>
            <w:r>
              <w:rPr>
                <w:rFonts w:hint="eastAsia" w:ascii="宋体" w:hAnsi="宋体" w:eastAsia="宋体" w:cs="宋体"/>
                <w:sz w:val="24"/>
                <w:szCs w:val="24"/>
                <w:lang w:eastAsia="zh-CN"/>
              </w:rPr>
              <w:t>（</w:t>
            </w:r>
            <w:r>
              <w:rPr>
                <w:rFonts w:hint="eastAsia" w:ascii="宋体" w:hAnsi="宋体" w:eastAsia="宋体" w:cs="宋体"/>
                <w:sz w:val="24"/>
                <w:szCs w:val="24"/>
              </w:rPr>
              <w:t>等相关</w:t>
            </w:r>
            <w:r>
              <w:rPr>
                <w:rFonts w:hint="eastAsia" w:ascii="宋体" w:hAnsi="宋体" w:eastAsia="宋体" w:cs="宋体"/>
                <w:sz w:val="24"/>
                <w:szCs w:val="24"/>
                <w:lang w:eastAsia="zh-CN"/>
              </w:rPr>
              <w:t>）</w:t>
            </w:r>
            <w:r>
              <w:rPr>
                <w:rFonts w:hint="eastAsia" w:ascii="宋体" w:hAnsi="宋体" w:eastAsia="宋体" w:cs="宋体"/>
                <w:sz w:val="24"/>
                <w:szCs w:val="24"/>
              </w:rPr>
              <w:t>专业高级职称证书的，每一类证书得3分，本项满分12分（一人多证只计取一次，同一类证书不重复计取）；专业不齐，每缺一项扣3分。</w:t>
            </w:r>
          </w:p>
          <w:p w14:paraId="6B2A8D1A">
            <w:pPr>
              <w:bidi w:val="0"/>
              <w:rPr>
                <w:rFonts w:hint="eastAsia" w:ascii="宋体" w:hAnsi="宋体" w:eastAsia="宋体" w:cs="宋体"/>
                <w:sz w:val="24"/>
                <w:szCs w:val="24"/>
              </w:rPr>
            </w:pPr>
            <w:r>
              <w:rPr>
                <w:rFonts w:hint="eastAsia" w:ascii="宋体" w:hAnsi="宋体" w:eastAsia="宋体" w:cs="宋体"/>
                <w:sz w:val="24"/>
                <w:szCs w:val="24"/>
              </w:rPr>
              <w:t>2、调查区位于矿区，且涉及到矿区测绘及野外调查等，为确保安全生产，项目成员具有注册安全工程师证书的，得3分，本项满分3分。</w:t>
            </w:r>
          </w:p>
          <w:p w14:paraId="159811BF">
            <w:pPr>
              <w:bidi w:val="0"/>
              <w:rPr>
                <w:rFonts w:hint="eastAsia" w:ascii="宋体" w:hAnsi="宋体" w:eastAsia="宋体" w:cs="宋体"/>
                <w:sz w:val="24"/>
                <w:szCs w:val="24"/>
              </w:rPr>
            </w:pPr>
            <w:r>
              <w:rPr>
                <w:rFonts w:hint="eastAsia" w:ascii="宋体" w:hAnsi="宋体" w:eastAsia="宋体" w:cs="宋体"/>
                <w:sz w:val="24"/>
                <w:szCs w:val="24"/>
              </w:rPr>
              <w:t>备注：投标时需提供拟投入本项目人员配备表、职称证书扫描件或影印件（注册安全工程师注册单位和投标供应商一致）。</w:t>
            </w:r>
          </w:p>
        </w:tc>
        <w:tc>
          <w:tcPr>
            <w:tcW w:w="653" w:type="dxa"/>
            <w:gridSpan w:val="2"/>
            <w:tcBorders>
              <w:top w:val="single" w:color="auto" w:sz="4" w:space="0"/>
              <w:left w:val="single" w:color="auto" w:sz="4" w:space="0"/>
              <w:bottom w:val="single" w:color="auto" w:sz="4" w:space="0"/>
              <w:right w:val="single" w:color="auto" w:sz="4" w:space="0"/>
            </w:tcBorders>
            <w:noWrap w:val="0"/>
            <w:vAlign w:val="center"/>
          </w:tcPr>
          <w:p w14:paraId="1DE87333">
            <w:pPr>
              <w:bidi w:val="0"/>
              <w:rPr>
                <w:rFonts w:hint="eastAsia" w:ascii="宋体" w:hAnsi="宋体" w:eastAsia="宋体" w:cs="宋体"/>
                <w:sz w:val="24"/>
                <w:szCs w:val="24"/>
                <w:lang w:val="en-US" w:eastAsia="zh-CN"/>
              </w:rPr>
            </w:pPr>
            <w:r>
              <w:rPr>
                <w:rFonts w:hint="eastAsia" w:ascii="宋体" w:hAnsi="宋体" w:eastAsia="宋体" w:cs="宋体"/>
                <w:sz w:val="24"/>
                <w:szCs w:val="24"/>
              </w:rPr>
              <w:t>0-15分</w:t>
            </w:r>
          </w:p>
        </w:tc>
      </w:tr>
      <w:tr w14:paraId="1D08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noWrap w:val="0"/>
            <w:vAlign w:val="center"/>
          </w:tcPr>
          <w:p w14:paraId="634DA5CC">
            <w:pPr>
              <w:bidi w:val="0"/>
              <w:rPr>
                <w:rFonts w:hint="eastAsia" w:ascii="宋体" w:hAnsi="宋体" w:eastAsia="宋体" w:cs="宋体"/>
                <w:sz w:val="24"/>
                <w:szCs w:val="24"/>
              </w:rPr>
            </w:pPr>
            <w:r>
              <w:rPr>
                <w:rFonts w:hint="eastAsia" w:ascii="宋体" w:hAnsi="宋体" w:eastAsia="宋体" w:cs="宋体"/>
                <w:sz w:val="24"/>
                <w:szCs w:val="24"/>
              </w:rPr>
              <w:t>价格分</w:t>
            </w:r>
          </w:p>
          <w:p w14:paraId="3EC31EC3">
            <w:pPr>
              <w:bidi w:val="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7451" w:type="dxa"/>
            <w:gridSpan w:val="3"/>
            <w:tcBorders>
              <w:top w:val="single" w:color="auto" w:sz="4" w:space="0"/>
              <w:left w:val="single" w:color="auto" w:sz="4" w:space="0"/>
              <w:bottom w:val="single" w:color="auto" w:sz="4" w:space="0"/>
              <w:right w:val="single" w:color="auto" w:sz="4" w:space="0"/>
            </w:tcBorders>
            <w:noWrap w:val="0"/>
            <w:vAlign w:val="center"/>
          </w:tcPr>
          <w:p w14:paraId="26CC62E2">
            <w:pPr>
              <w:bidi w:val="0"/>
              <w:rPr>
                <w:rFonts w:hint="eastAsia" w:ascii="宋体" w:hAnsi="宋体" w:eastAsia="宋体" w:cs="宋体"/>
                <w:sz w:val="24"/>
                <w:szCs w:val="24"/>
              </w:rPr>
            </w:pPr>
            <w:r>
              <w:rPr>
                <w:rFonts w:hint="eastAsia" w:ascii="宋体" w:hAnsi="宋体" w:eastAsia="宋体" w:cs="宋体"/>
                <w:sz w:val="24"/>
                <w:szCs w:val="24"/>
              </w:rPr>
              <w:t>价格分统一采用低价优先法</w:t>
            </w:r>
            <w:r>
              <w:rPr>
                <w:rFonts w:hint="eastAsia" w:ascii="宋体" w:hAnsi="宋体" w:eastAsia="宋体" w:cs="宋体"/>
                <w:sz w:val="24"/>
                <w:szCs w:val="24"/>
                <w:lang w:eastAsia="zh-CN"/>
              </w:rPr>
              <w:t>，</w:t>
            </w:r>
            <w:r>
              <w:rPr>
                <w:rFonts w:hint="eastAsia" w:ascii="宋体" w:hAnsi="宋体" w:eastAsia="宋体" w:cs="宋体"/>
                <w:sz w:val="24"/>
                <w:szCs w:val="24"/>
              </w:rPr>
              <w:t>即满足磋商文件要求且最</w:t>
            </w:r>
            <w:r>
              <w:rPr>
                <w:rFonts w:hint="eastAsia" w:ascii="宋体" w:hAnsi="宋体" w:eastAsia="宋体" w:cs="宋体"/>
                <w:sz w:val="24"/>
                <w:szCs w:val="24"/>
                <w:lang w:val="en-US" w:eastAsia="zh-CN"/>
              </w:rPr>
              <w:t>终</w:t>
            </w:r>
            <w:r>
              <w:rPr>
                <w:rFonts w:hint="eastAsia" w:ascii="宋体" w:hAnsi="宋体" w:eastAsia="宋体" w:cs="宋体"/>
                <w:sz w:val="24"/>
                <w:szCs w:val="24"/>
              </w:rPr>
              <w:t>报价最低的价格为评标基准价，</w:t>
            </w:r>
            <w:r>
              <w:rPr>
                <w:rFonts w:hint="eastAsia" w:ascii="宋体" w:hAnsi="宋体" w:eastAsia="宋体" w:cs="宋体"/>
                <w:sz w:val="24"/>
                <w:szCs w:val="24"/>
                <w:lang w:val="en-US" w:eastAsia="zh-CN"/>
              </w:rPr>
              <w:t>对应供应商的</w:t>
            </w:r>
            <w:r>
              <w:rPr>
                <w:rFonts w:hint="eastAsia" w:ascii="宋体" w:hAnsi="宋体" w:eastAsia="宋体" w:cs="宋体"/>
                <w:sz w:val="24"/>
                <w:szCs w:val="24"/>
              </w:rPr>
              <w:t>价格</w:t>
            </w:r>
            <w:r>
              <w:rPr>
                <w:rFonts w:hint="eastAsia" w:ascii="宋体" w:hAnsi="宋体" w:eastAsia="宋体" w:cs="宋体"/>
                <w:sz w:val="24"/>
                <w:szCs w:val="24"/>
                <w:lang w:val="en-US" w:eastAsia="zh-CN"/>
              </w:rPr>
              <w:t>分</w:t>
            </w:r>
            <w:r>
              <w:rPr>
                <w:rFonts w:hint="eastAsia" w:ascii="宋体" w:hAnsi="宋体" w:eastAsia="宋体" w:cs="宋体"/>
                <w:sz w:val="24"/>
                <w:szCs w:val="24"/>
              </w:rPr>
              <w:t>为1</w:t>
            </w:r>
            <w:r>
              <w:rPr>
                <w:rFonts w:hint="eastAsia" w:ascii="宋体" w:hAnsi="宋体" w:eastAsia="宋体" w:cs="宋体"/>
                <w:sz w:val="24"/>
                <w:szCs w:val="24"/>
                <w:lang w:val="en-US" w:eastAsia="zh-CN"/>
              </w:rPr>
              <w:t>0</w:t>
            </w:r>
            <w:r>
              <w:rPr>
                <w:rFonts w:hint="eastAsia" w:ascii="宋体" w:hAnsi="宋体" w:eastAsia="宋体" w:cs="宋体"/>
                <w:sz w:val="24"/>
                <w:szCs w:val="24"/>
              </w:rPr>
              <w:t>分。其他供应商的价格分统一按照下列公式计算（四舍五入保留至小数点后两位数）：</w:t>
            </w:r>
          </w:p>
          <w:p w14:paraId="09DE9E10">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w:t>
            </w:r>
            <w:r>
              <w:rPr>
                <w:rFonts w:hint="eastAsia" w:ascii="宋体" w:hAnsi="宋体" w:eastAsia="宋体" w:cs="宋体"/>
                <w:sz w:val="24"/>
                <w:szCs w:val="24"/>
              </w:rPr>
              <w:t>得分=（</w:t>
            </w:r>
            <w:r>
              <w:rPr>
                <w:rFonts w:hint="eastAsia" w:ascii="宋体" w:hAnsi="宋体" w:eastAsia="宋体" w:cs="宋体"/>
                <w:sz w:val="24"/>
                <w:szCs w:val="24"/>
                <w:lang w:val="en-US" w:eastAsia="zh-CN"/>
              </w:rPr>
              <w:t>评标</w:t>
            </w:r>
            <w:r>
              <w:rPr>
                <w:rFonts w:hint="eastAsia" w:ascii="宋体" w:hAnsi="宋体" w:eastAsia="宋体" w:cs="宋体"/>
                <w:sz w:val="24"/>
                <w:szCs w:val="24"/>
              </w:rPr>
              <w:t>基准价/最</w:t>
            </w:r>
            <w:r>
              <w:rPr>
                <w:rFonts w:hint="eastAsia" w:ascii="宋体" w:hAnsi="宋体" w:eastAsia="宋体" w:cs="宋体"/>
                <w:sz w:val="24"/>
                <w:szCs w:val="24"/>
                <w:lang w:val="en-US" w:eastAsia="zh-CN"/>
              </w:rPr>
              <w:t>终</w:t>
            </w:r>
            <w:r>
              <w:rPr>
                <w:rFonts w:hint="eastAsia" w:ascii="宋体" w:hAnsi="宋体" w:eastAsia="宋体" w:cs="宋体"/>
                <w:sz w:val="24"/>
                <w:szCs w:val="24"/>
              </w:rPr>
              <w:t>磋商报价）×1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100</w:t>
            </w:r>
            <w:r>
              <w:rPr>
                <w:rFonts w:hint="eastAsia" w:ascii="宋体" w:hAnsi="宋体" w:eastAsia="宋体" w:cs="宋体"/>
                <w:sz w:val="24"/>
                <w:szCs w:val="24"/>
              </w:rPr>
              <w:t>。</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332240D4">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bl>
    <w:p w14:paraId="70D637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22225D1A">
      <w:pPr>
        <w:pStyle w:val="16"/>
        <w:spacing w:line="480" w:lineRule="exact"/>
        <w:ind w:right="-11"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3、得分汇总</w:t>
      </w:r>
    </w:p>
    <w:p w14:paraId="0BBE0CCE">
      <w:pPr>
        <w:pStyle w:val="16"/>
        <w:spacing w:line="480" w:lineRule="exact"/>
        <w:ind w:right="-1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（1）将每个有效磋商供应商的技术标分之和加上根据上述标准计算出的价格分，即为该磋商供应商的综合总得分。</w:t>
      </w:r>
    </w:p>
    <w:p w14:paraId="0FAE027F">
      <w:pPr>
        <w:spacing w:line="4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（2）按照有效磋商供应商综合总得分由高到低依次排出成交供应商及成交候选供应商。</w:t>
      </w:r>
    </w:p>
    <w:p w14:paraId="229C56B9">
      <w:pPr>
        <w:pStyle w:val="2"/>
        <w:keepNext/>
        <w:keepLines/>
        <w:pageBreakBefore w:val="0"/>
        <w:widowControl w:val="0"/>
        <w:kinsoku/>
        <w:wordWrap/>
        <w:overflowPunct/>
        <w:topLinePunct w:val="0"/>
        <w:autoSpaceDE/>
        <w:autoSpaceDN/>
        <w:bidi w:val="0"/>
        <w:adjustRightInd w:val="0"/>
        <w:snapToGrid/>
        <w:spacing w:before="156" w:beforeLines="50" w:after="156" w:afterLines="50" w:line="560" w:lineRule="exact"/>
        <w:jc w:val="center"/>
        <w:textAlignment w:val="baseline"/>
        <w:outlineLvl w:val="0"/>
        <w:rPr>
          <w:rFonts w:hint="eastAsia" w:ascii="宋体" w:hAnsi="宋体" w:eastAsia="宋体" w:cs="宋体"/>
          <w:color w:val="auto"/>
          <w:sz w:val="28"/>
          <w:szCs w:val="28"/>
          <w:highlight w:val="none"/>
        </w:rPr>
      </w:pPr>
      <w:bookmarkStart w:id="81" w:name="_Toc5553"/>
      <w:bookmarkStart w:id="82" w:name="_Toc14458"/>
      <w:r>
        <w:rPr>
          <w:rFonts w:hint="eastAsia" w:ascii="宋体" w:hAnsi="宋体" w:eastAsia="宋体" w:cs="宋体"/>
          <w:color w:val="auto"/>
          <w:sz w:val="28"/>
          <w:szCs w:val="28"/>
          <w:highlight w:val="none"/>
        </w:rPr>
        <w:br w:type="page"/>
      </w:r>
      <w:bookmarkStart w:id="83" w:name="_Toc9163"/>
      <w:r>
        <w:rPr>
          <w:rFonts w:hint="eastAsia" w:ascii="宋体" w:hAnsi="宋体" w:eastAsia="宋体" w:cs="宋体"/>
          <w:b/>
          <w:bCs/>
          <w:color w:val="auto"/>
          <w:sz w:val="28"/>
          <w:szCs w:val="28"/>
          <w:highlight w:val="none"/>
        </w:rPr>
        <w:t>五、响应文件格式</w:t>
      </w:r>
      <w:bookmarkEnd w:id="81"/>
      <w:bookmarkEnd w:id="82"/>
      <w:bookmarkEnd w:id="83"/>
    </w:p>
    <w:p w14:paraId="3AA52330">
      <w:pPr>
        <w:spacing w:line="500" w:lineRule="exact"/>
        <w:jc w:val="right"/>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正本/副本</w:t>
      </w:r>
    </w:p>
    <w:p w14:paraId="747187D6">
      <w:pPr>
        <w:spacing w:line="500" w:lineRule="exact"/>
        <w:jc w:val="center"/>
        <w:outlineLvl w:val="0"/>
        <w:rPr>
          <w:rFonts w:hint="eastAsia" w:ascii="宋体" w:hAnsi="宋体" w:eastAsia="宋体" w:cs="宋体"/>
          <w:b/>
          <w:color w:val="auto"/>
          <w:sz w:val="44"/>
          <w:szCs w:val="24"/>
          <w:highlight w:val="none"/>
        </w:rPr>
      </w:pPr>
      <w:bookmarkStart w:id="84" w:name="_Toc22685"/>
      <w:bookmarkStart w:id="85" w:name="_Toc4448"/>
      <w:r>
        <w:rPr>
          <w:rFonts w:hint="eastAsia" w:ascii="宋体" w:hAnsi="宋体" w:cs="宋体"/>
          <w:b/>
          <w:color w:val="auto"/>
          <w:sz w:val="44"/>
          <w:szCs w:val="24"/>
          <w:highlight w:val="none"/>
          <w:lang w:val="en-US" w:eastAsia="zh-CN"/>
        </w:rPr>
        <w:t>xxxx</w:t>
      </w:r>
      <w:r>
        <w:rPr>
          <w:rFonts w:hint="eastAsia" w:ascii="宋体" w:hAnsi="宋体" w:eastAsia="宋体" w:cs="宋体"/>
          <w:b/>
          <w:color w:val="auto"/>
          <w:sz w:val="44"/>
          <w:szCs w:val="24"/>
          <w:highlight w:val="none"/>
        </w:rPr>
        <w:t>项目</w:t>
      </w:r>
      <w:bookmarkEnd w:id="84"/>
      <w:bookmarkEnd w:id="85"/>
    </w:p>
    <w:p w14:paraId="0ACC12C1">
      <w:pPr>
        <w:spacing w:line="900" w:lineRule="exact"/>
        <w:rPr>
          <w:rFonts w:hint="eastAsia" w:ascii="宋体" w:hAnsi="宋体" w:eastAsia="宋体" w:cs="宋体"/>
          <w:b/>
          <w:color w:val="auto"/>
          <w:sz w:val="72"/>
          <w:highlight w:val="none"/>
        </w:rPr>
      </w:pPr>
    </w:p>
    <w:p w14:paraId="3D92A495">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09DA1757">
      <w:pPr>
        <w:spacing w:line="900" w:lineRule="exact"/>
        <w:jc w:val="center"/>
        <w:rPr>
          <w:rFonts w:hint="eastAsia" w:ascii="宋体" w:hAnsi="宋体" w:eastAsia="宋体" w:cs="宋体"/>
          <w:b/>
          <w:color w:val="auto"/>
          <w:sz w:val="72"/>
          <w:highlight w:val="none"/>
        </w:rPr>
      </w:pPr>
    </w:p>
    <w:p w14:paraId="448F696C">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2E3B99F6">
      <w:pPr>
        <w:spacing w:line="900" w:lineRule="exact"/>
        <w:jc w:val="center"/>
        <w:rPr>
          <w:rFonts w:hint="eastAsia" w:ascii="宋体" w:hAnsi="宋体" w:eastAsia="宋体" w:cs="宋体"/>
          <w:b/>
          <w:color w:val="auto"/>
          <w:sz w:val="72"/>
          <w:highlight w:val="none"/>
        </w:rPr>
      </w:pPr>
    </w:p>
    <w:p w14:paraId="46D7BD4C">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1BD446A">
      <w:pPr>
        <w:spacing w:line="900" w:lineRule="exact"/>
        <w:jc w:val="center"/>
        <w:rPr>
          <w:rFonts w:hint="eastAsia" w:ascii="宋体" w:hAnsi="宋体" w:eastAsia="宋体" w:cs="宋体"/>
          <w:b/>
          <w:color w:val="auto"/>
          <w:sz w:val="72"/>
          <w:highlight w:val="none"/>
        </w:rPr>
      </w:pPr>
    </w:p>
    <w:p w14:paraId="0B2E425F">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33894A4A">
      <w:pPr>
        <w:spacing w:after="156" w:afterLines="50"/>
        <w:jc w:val="center"/>
        <w:rPr>
          <w:rFonts w:hint="eastAsia" w:ascii="宋体" w:hAnsi="宋体" w:eastAsia="宋体" w:cs="宋体"/>
          <w:b/>
          <w:color w:val="auto"/>
          <w:sz w:val="72"/>
          <w:highlight w:val="none"/>
        </w:rPr>
      </w:pPr>
    </w:p>
    <w:p w14:paraId="7C652BF6">
      <w:pPr>
        <w:spacing w:after="156" w:afterLines="50" w:line="500" w:lineRule="exact"/>
        <w:jc w:val="center"/>
        <w:rPr>
          <w:rFonts w:hint="eastAsia" w:ascii="宋体" w:hAnsi="宋体" w:eastAsia="宋体" w:cs="宋体"/>
          <w:b/>
          <w:color w:val="auto"/>
          <w:sz w:val="72"/>
          <w:highlight w:val="none"/>
        </w:rPr>
      </w:pPr>
    </w:p>
    <w:p w14:paraId="3C608AFC">
      <w:pPr>
        <w:spacing w:after="156" w:afterLines="50" w:line="500" w:lineRule="exact"/>
        <w:jc w:val="center"/>
        <w:rPr>
          <w:rFonts w:hint="eastAsia" w:ascii="宋体" w:hAnsi="宋体" w:eastAsia="宋体" w:cs="宋体"/>
          <w:b/>
          <w:color w:val="auto"/>
          <w:sz w:val="72"/>
          <w:highlight w:val="none"/>
        </w:rPr>
      </w:pPr>
    </w:p>
    <w:p w14:paraId="26C5DCC9">
      <w:pPr>
        <w:spacing w:after="156" w:afterLines="50" w:line="500" w:lineRule="exact"/>
        <w:ind w:firstLine="2088" w:firstLineChars="65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供应商：</w:t>
      </w:r>
    </w:p>
    <w:p w14:paraId="301E2E17">
      <w:pPr>
        <w:spacing w:after="156" w:afterLines="50" w:line="500" w:lineRule="exact"/>
        <w:ind w:firstLine="2088" w:firstLineChars="650"/>
        <w:outlineLvl w:val="0"/>
        <w:rPr>
          <w:rFonts w:hint="eastAsia" w:ascii="宋体" w:hAnsi="宋体" w:eastAsia="宋体" w:cs="宋体"/>
          <w:color w:val="auto"/>
          <w:sz w:val="24"/>
          <w:szCs w:val="28"/>
          <w:highlight w:val="none"/>
        </w:rPr>
      </w:pPr>
      <w:bookmarkStart w:id="86" w:name="_Toc4670"/>
      <w:bookmarkStart w:id="87" w:name="_Toc5792"/>
      <w:r>
        <w:rPr>
          <w:rFonts w:hint="eastAsia" w:ascii="宋体" w:hAnsi="宋体" w:eastAsia="宋体" w:cs="宋体"/>
          <w:b/>
          <w:color w:val="auto"/>
          <w:sz w:val="32"/>
          <w:highlight w:val="none"/>
        </w:rPr>
        <w:t>年  月  日</w:t>
      </w:r>
      <w:bookmarkEnd w:id="86"/>
      <w:bookmarkEnd w:id="87"/>
    </w:p>
    <w:p w14:paraId="603395E3">
      <w:pPr>
        <w:keepNext/>
        <w:keepLines/>
        <w:pageBreakBefore w:val="0"/>
        <w:widowControl w:val="0"/>
        <w:kinsoku/>
        <w:wordWrap/>
        <w:overflowPunct/>
        <w:topLinePunct w:val="0"/>
        <w:autoSpaceDE/>
        <w:autoSpaceDN/>
        <w:bidi w:val="0"/>
        <w:adjustRightInd w:val="0"/>
        <w:snapToGrid/>
        <w:spacing w:before="156" w:beforeLines="50" w:after="156" w:afterLines="50" w:line="560" w:lineRule="exact"/>
        <w:jc w:val="center"/>
        <w:textAlignment w:val="baseline"/>
        <w:outlineLvl w:val="9"/>
        <w:rPr>
          <w:rFonts w:hint="eastAsia" w:ascii="宋体" w:hAnsi="宋体" w:eastAsia="宋体" w:cs="宋体"/>
          <w:color w:val="auto"/>
          <w:sz w:val="24"/>
          <w:szCs w:val="24"/>
          <w:highlight w:val="none"/>
        </w:rPr>
      </w:pPr>
      <w:bookmarkStart w:id="88" w:name="_Toc20663"/>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2"/>
          <w:highlight w:val="none"/>
        </w:rPr>
        <w:t>响应文件资料清单</w:t>
      </w:r>
      <w:bookmarkEnd w:id="88"/>
    </w:p>
    <w:tbl>
      <w:tblPr>
        <w:tblStyle w:val="4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F64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BF7F010">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6038" w:type="dxa"/>
            <w:noWrap w:val="0"/>
            <w:vAlign w:val="center"/>
          </w:tcPr>
          <w:p w14:paraId="0B22FE48">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资料名称</w:t>
            </w:r>
          </w:p>
        </w:tc>
        <w:tc>
          <w:tcPr>
            <w:tcW w:w="1417" w:type="dxa"/>
            <w:noWrap w:val="0"/>
            <w:vAlign w:val="center"/>
          </w:tcPr>
          <w:p w14:paraId="6E5EF618">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16F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3B5ABB5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6038" w:type="dxa"/>
            <w:noWrap w:val="0"/>
            <w:vAlign w:val="center"/>
          </w:tcPr>
          <w:p w14:paraId="3269C5D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报价单</w:t>
            </w:r>
          </w:p>
        </w:tc>
        <w:tc>
          <w:tcPr>
            <w:tcW w:w="1417" w:type="dxa"/>
            <w:noWrap w:val="0"/>
            <w:vAlign w:val="center"/>
          </w:tcPr>
          <w:p w14:paraId="6DE0A3DD">
            <w:pPr>
              <w:spacing w:line="440" w:lineRule="exact"/>
              <w:jc w:val="center"/>
              <w:rPr>
                <w:rFonts w:hint="eastAsia" w:ascii="宋体" w:hAnsi="宋体" w:eastAsia="宋体" w:cs="宋体"/>
                <w:b/>
                <w:color w:val="auto"/>
                <w:sz w:val="24"/>
                <w:highlight w:val="none"/>
              </w:rPr>
            </w:pPr>
          </w:p>
        </w:tc>
      </w:tr>
      <w:tr w14:paraId="337A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7C21D45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6038" w:type="dxa"/>
            <w:noWrap w:val="0"/>
            <w:vAlign w:val="center"/>
          </w:tcPr>
          <w:p w14:paraId="5963F38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供应商基本信息</w:t>
            </w:r>
          </w:p>
        </w:tc>
        <w:tc>
          <w:tcPr>
            <w:tcW w:w="1417" w:type="dxa"/>
            <w:noWrap w:val="0"/>
            <w:vAlign w:val="center"/>
          </w:tcPr>
          <w:p w14:paraId="51E70421">
            <w:pPr>
              <w:spacing w:line="440" w:lineRule="exact"/>
              <w:jc w:val="center"/>
              <w:rPr>
                <w:rFonts w:hint="eastAsia" w:ascii="宋体" w:hAnsi="宋体" w:eastAsia="宋体" w:cs="宋体"/>
                <w:b/>
                <w:color w:val="auto"/>
                <w:sz w:val="24"/>
                <w:highlight w:val="none"/>
              </w:rPr>
            </w:pPr>
          </w:p>
        </w:tc>
      </w:tr>
      <w:tr w14:paraId="55D4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7512A04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p>
        </w:tc>
        <w:tc>
          <w:tcPr>
            <w:tcW w:w="6038" w:type="dxa"/>
            <w:noWrap w:val="0"/>
            <w:vAlign w:val="center"/>
          </w:tcPr>
          <w:p w14:paraId="774F515D">
            <w:pPr>
              <w:pStyle w:val="85"/>
              <w:spacing w:line="44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磋商授权书</w:t>
            </w:r>
          </w:p>
        </w:tc>
        <w:tc>
          <w:tcPr>
            <w:tcW w:w="1417" w:type="dxa"/>
            <w:noWrap w:val="0"/>
            <w:vAlign w:val="center"/>
          </w:tcPr>
          <w:p w14:paraId="57305C4A">
            <w:pPr>
              <w:spacing w:line="440" w:lineRule="exact"/>
              <w:jc w:val="center"/>
              <w:rPr>
                <w:rFonts w:hint="eastAsia" w:ascii="宋体" w:hAnsi="宋体" w:eastAsia="宋体" w:cs="宋体"/>
                <w:b/>
                <w:color w:val="auto"/>
                <w:sz w:val="24"/>
                <w:highlight w:val="none"/>
              </w:rPr>
            </w:pPr>
          </w:p>
        </w:tc>
      </w:tr>
      <w:tr w14:paraId="0707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3DC4CC1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p>
        </w:tc>
        <w:tc>
          <w:tcPr>
            <w:tcW w:w="6038" w:type="dxa"/>
            <w:noWrap w:val="0"/>
            <w:vAlign w:val="center"/>
          </w:tcPr>
          <w:p w14:paraId="14EF63C4">
            <w:pPr>
              <w:pStyle w:val="85"/>
              <w:spacing w:line="440" w:lineRule="exact"/>
              <w:rPr>
                <w:rFonts w:hint="eastAsia" w:ascii="宋体" w:hAnsi="宋体" w:eastAsia="宋体" w:cs="宋体"/>
                <w:color w:val="auto"/>
                <w:highlight w:val="none"/>
              </w:rPr>
            </w:pPr>
            <w:r>
              <w:rPr>
                <w:rFonts w:hint="eastAsia" w:ascii="宋体" w:hAnsi="宋体" w:eastAsia="宋体" w:cs="宋体"/>
                <w:color w:val="auto"/>
                <w:szCs w:val="24"/>
                <w:highlight w:val="none"/>
              </w:rPr>
              <w:t>磋商响应函</w:t>
            </w:r>
          </w:p>
        </w:tc>
        <w:tc>
          <w:tcPr>
            <w:tcW w:w="1417" w:type="dxa"/>
            <w:noWrap w:val="0"/>
            <w:vAlign w:val="center"/>
          </w:tcPr>
          <w:p w14:paraId="0F8E6C1E">
            <w:pPr>
              <w:spacing w:line="440" w:lineRule="exact"/>
              <w:jc w:val="center"/>
              <w:rPr>
                <w:rFonts w:hint="eastAsia" w:ascii="宋体" w:hAnsi="宋体" w:eastAsia="宋体" w:cs="宋体"/>
                <w:b/>
                <w:color w:val="auto"/>
                <w:sz w:val="24"/>
                <w:highlight w:val="none"/>
              </w:rPr>
            </w:pPr>
          </w:p>
        </w:tc>
      </w:tr>
      <w:tr w14:paraId="510E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746ED692">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五</w:t>
            </w:r>
          </w:p>
        </w:tc>
        <w:tc>
          <w:tcPr>
            <w:tcW w:w="6038" w:type="dxa"/>
            <w:noWrap w:val="0"/>
            <w:vAlign w:val="center"/>
          </w:tcPr>
          <w:p w14:paraId="3EE299F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无重大违法记录声明函、无不良信用记录承诺函</w:t>
            </w:r>
          </w:p>
        </w:tc>
        <w:tc>
          <w:tcPr>
            <w:tcW w:w="1417" w:type="dxa"/>
            <w:noWrap w:val="0"/>
            <w:vAlign w:val="center"/>
          </w:tcPr>
          <w:p w14:paraId="6838EF0A">
            <w:pPr>
              <w:spacing w:line="440" w:lineRule="exact"/>
              <w:jc w:val="center"/>
              <w:rPr>
                <w:rFonts w:hint="eastAsia" w:ascii="宋体" w:hAnsi="宋体" w:eastAsia="宋体" w:cs="宋体"/>
                <w:b/>
                <w:color w:val="auto"/>
                <w:sz w:val="24"/>
                <w:highlight w:val="none"/>
              </w:rPr>
            </w:pPr>
          </w:p>
        </w:tc>
      </w:tr>
      <w:tr w14:paraId="0B01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noWrap w:val="0"/>
            <w:vAlign w:val="center"/>
          </w:tcPr>
          <w:p w14:paraId="252EAC6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六</w:t>
            </w:r>
          </w:p>
        </w:tc>
        <w:tc>
          <w:tcPr>
            <w:tcW w:w="6038" w:type="dxa"/>
            <w:noWrap w:val="0"/>
            <w:vAlign w:val="center"/>
          </w:tcPr>
          <w:p w14:paraId="32FF51A3">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响应情况表</w:t>
            </w:r>
          </w:p>
        </w:tc>
        <w:tc>
          <w:tcPr>
            <w:tcW w:w="1417" w:type="dxa"/>
            <w:noWrap w:val="0"/>
            <w:vAlign w:val="center"/>
          </w:tcPr>
          <w:p w14:paraId="298CE866">
            <w:pPr>
              <w:spacing w:line="440" w:lineRule="exact"/>
              <w:rPr>
                <w:rFonts w:hint="eastAsia" w:ascii="宋体" w:hAnsi="宋体" w:eastAsia="宋体" w:cs="宋体"/>
                <w:b/>
                <w:color w:val="auto"/>
                <w:sz w:val="24"/>
                <w:highlight w:val="none"/>
              </w:rPr>
            </w:pPr>
          </w:p>
        </w:tc>
      </w:tr>
      <w:tr w14:paraId="78BE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noWrap w:val="0"/>
            <w:vAlign w:val="center"/>
          </w:tcPr>
          <w:p w14:paraId="1A5B0F2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七</w:t>
            </w:r>
          </w:p>
        </w:tc>
        <w:tc>
          <w:tcPr>
            <w:tcW w:w="6038" w:type="dxa"/>
            <w:noWrap w:val="0"/>
            <w:vAlign w:val="center"/>
          </w:tcPr>
          <w:p w14:paraId="6460DB1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技术标部分评审内容（按评分办法顺序编入响应文件并标注页码）</w:t>
            </w:r>
          </w:p>
        </w:tc>
        <w:tc>
          <w:tcPr>
            <w:tcW w:w="1417" w:type="dxa"/>
            <w:noWrap w:val="0"/>
            <w:vAlign w:val="center"/>
          </w:tcPr>
          <w:p w14:paraId="126B6230">
            <w:pPr>
              <w:spacing w:line="440" w:lineRule="exact"/>
              <w:rPr>
                <w:rFonts w:hint="eastAsia" w:ascii="宋体" w:hAnsi="宋体" w:eastAsia="宋体" w:cs="宋体"/>
                <w:b/>
                <w:color w:val="auto"/>
                <w:sz w:val="24"/>
                <w:highlight w:val="none"/>
              </w:rPr>
            </w:pPr>
          </w:p>
        </w:tc>
      </w:tr>
      <w:tr w14:paraId="0C8D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noWrap w:val="0"/>
            <w:vAlign w:val="center"/>
          </w:tcPr>
          <w:p w14:paraId="38BD5253">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p>
        </w:tc>
        <w:tc>
          <w:tcPr>
            <w:tcW w:w="6038" w:type="dxa"/>
            <w:noWrap w:val="0"/>
            <w:vAlign w:val="center"/>
          </w:tcPr>
          <w:p w14:paraId="64BB2269">
            <w:pPr>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磋商文件要求和供应商认为需要提供的其它说明和资料</w:t>
            </w:r>
          </w:p>
        </w:tc>
        <w:tc>
          <w:tcPr>
            <w:tcW w:w="1417" w:type="dxa"/>
            <w:noWrap w:val="0"/>
            <w:vAlign w:val="center"/>
          </w:tcPr>
          <w:p w14:paraId="6AC8ED42">
            <w:pPr>
              <w:spacing w:line="440" w:lineRule="exact"/>
              <w:rPr>
                <w:rFonts w:hint="eastAsia" w:ascii="宋体" w:hAnsi="宋体" w:eastAsia="宋体" w:cs="宋体"/>
                <w:b/>
                <w:color w:val="auto"/>
                <w:sz w:val="24"/>
                <w:highlight w:val="none"/>
              </w:rPr>
            </w:pPr>
          </w:p>
        </w:tc>
      </w:tr>
      <w:tr w14:paraId="6977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noWrap w:val="0"/>
            <w:vAlign w:val="center"/>
          </w:tcPr>
          <w:p w14:paraId="2F41DB45">
            <w:pPr>
              <w:spacing w:line="440" w:lineRule="exact"/>
              <w:jc w:val="center"/>
              <w:rPr>
                <w:rFonts w:hint="eastAsia" w:ascii="宋体" w:hAnsi="宋体" w:eastAsia="宋体" w:cs="宋体"/>
                <w:color w:val="auto"/>
                <w:sz w:val="24"/>
                <w:highlight w:val="none"/>
              </w:rPr>
            </w:pPr>
          </w:p>
        </w:tc>
        <w:tc>
          <w:tcPr>
            <w:tcW w:w="6038" w:type="dxa"/>
            <w:noWrap w:val="0"/>
            <w:vAlign w:val="center"/>
          </w:tcPr>
          <w:p w14:paraId="015CDB85">
            <w:pPr>
              <w:spacing w:line="360" w:lineRule="auto"/>
              <w:jc w:val="left"/>
              <w:rPr>
                <w:rFonts w:hint="eastAsia" w:ascii="宋体" w:hAnsi="宋体" w:eastAsia="宋体" w:cs="宋体"/>
                <w:color w:val="auto"/>
                <w:sz w:val="24"/>
                <w:highlight w:val="none"/>
              </w:rPr>
            </w:pPr>
          </w:p>
        </w:tc>
        <w:tc>
          <w:tcPr>
            <w:tcW w:w="1417" w:type="dxa"/>
            <w:noWrap w:val="0"/>
            <w:vAlign w:val="center"/>
          </w:tcPr>
          <w:p w14:paraId="4C9E8D0B">
            <w:pPr>
              <w:spacing w:line="440" w:lineRule="exact"/>
              <w:rPr>
                <w:rFonts w:hint="eastAsia" w:ascii="宋体" w:hAnsi="宋体" w:eastAsia="宋体" w:cs="宋体"/>
                <w:b/>
                <w:color w:val="auto"/>
                <w:sz w:val="24"/>
                <w:highlight w:val="none"/>
              </w:rPr>
            </w:pPr>
          </w:p>
        </w:tc>
      </w:tr>
      <w:tr w14:paraId="1BE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noWrap w:val="0"/>
            <w:vAlign w:val="center"/>
          </w:tcPr>
          <w:p w14:paraId="69B07202">
            <w:pPr>
              <w:spacing w:line="440" w:lineRule="exact"/>
              <w:jc w:val="center"/>
              <w:rPr>
                <w:rFonts w:hint="eastAsia" w:ascii="宋体" w:hAnsi="宋体" w:eastAsia="宋体" w:cs="宋体"/>
                <w:color w:val="auto"/>
                <w:sz w:val="24"/>
                <w:highlight w:val="none"/>
              </w:rPr>
            </w:pPr>
          </w:p>
        </w:tc>
        <w:tc>
          <w:tcPr>
            <w:tcW w:w="6038" w:type="dxa"/>
            <w:noWrap w:val="0"/>
            <w:vAlign w:val="center"/>
          </w:tcPr>
          <w:p w14:paraId="71B33BB9">
            <w:pPr>
              <w:spacing w:line="440" w:lineRule="exact"/>
              <w:rPr>
                <w:rFonts w:hint="eastAsia" w:ascii="宋体" w:hAnsi="宋体" w:eastAsia="宋体" w:cs="宋体"/>
                <w:color w:val="auto"/>
                <w:sz w:val="24"/>
                <w:highlight w:val="none"/>
              </w:rPr>
            </w:pPr>
          </w:p>
        </w:tc>
        <w:tc>
          <w:tcPr>
            <w:tcW w:w="1417" w:type="dxa"/>
            <w:noWrap w:val="0"/>
            <w:vAlign w:val="center"/>
          </w:tcPr>
          <w:p w14:paraId="7331259B">
            <w:pPr>
              <w:spacing w:line="440" w:lineRule="exact"/>
              <w:rPr>
                <w:rFonts w:hint="eastAsia" w:ascii="宋体" w:hAnsi="宋体" w:eastAsia="宋体" w:cs="宋体"/>
                <w:b/>
                <w:color w:val="auto"/>
                <w:sz w:val="24"/>
                <w:highlight w:val="none"/>
              </w:rPr>
            </w:pPr>
          </w:p>
        </w:tc>
      </w:tr>
      <w:tr w14:paraId="57A9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7B0CACE9">
            <w:pPr>
              <w:spacing w:line="440" w:lineRule="exact"/>
              <w:jc w:val="center"/>
              <w:rPr>
                <w:rFonts w:hint="eastAsia" w:ascii="宋体" w:hAnsi="宋体" w:eastAsia="宋体" w:cs="宋体"/>
                <w:color w:val="auto"/>
                <w:sz w:val="24"/>
                <w:highlight w:val="none"/>
              </w:rPr>
            </w:pPr>
          </w:p>
        </w:tc>
        <w:tc>
          <w:tcPr>
            <w:tcW w:w="6038" w:type="dxa"/>
            <w:noWrap w:val="0"/>
            <w:vAlign w:val="center"/>
          </w:tcPr>
          <w:p w14:paraId="0D50391D">
            <w:pPr>
              <w:spacing w:line="440" w:lineRule="exact"/>
              <w:rPr>
                <w:rFonts w:hint="eastAsia" w:ascii="宋体" w:hAnsi="宋体" w:eastAsia="宋体" w:cs="宋体"/>
                <w:color w:val="auto"/>
                <w:sz w:val="24"/>
                <w:highlight w:val="none"/>
              </w:rPr>
            </w:pPr>
          </w:p>
        </w:tc>
        <w:tc>
          <w:tcPr>
            <w:tcW w:w="1417" w:type="dxa"/>
            <w:noWrap w:val="0"/>
            <w:vAlign w:val="center"/>
          </w:tcPr>
          <w:p w14:paraId="212BD411">
            <w:pPr>
              <w:spacing w:line="440" w:lineRule="exact"/>
              <w:rPr>
                <w:rFonts w:hint="eastAsia" w:ascii="宋体" w:hAnsi="宋体" w:eastAsia="宋体" w:cs="宋体"/>
                <w:b/>
                <w:color w:val="auto"/>
                <w:sz w:val="24"/>
                <w:highlight w:val="none"/>
              </w:rPr>
            </w:pPr>
          </w:p>
        </w:tc>
      </w:tr>
      <w:tr w14:paraId="4D49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8986173">
            <w:pPr>
              <w:spacing w:line="440" w:lineRule="exact"/>
              <w:jc w:val="center"/>
              <w:rPr>
                <w:rFonts w:hint="eastAsia" w:ascii="宋体" w:hAnsi="宋体" w:eastAsia="宋体" w:cs="宋体"/>
                <w:color w:val="auto"/>
                <w:sz w:val="24"/>
                <w:highlight w:val="none"/>
              </w:rPr>
            </w:pPr>
          </w:p>
        </w:tc>
        <w:tc>
          <w:tcPr>
            <w:tcW w:w="6038" w:type="dxa"/>
            <w:noWrap w:val="0"/>
            <w:vAlign w:val="center"/>
          </w:tcPr>
          <w:p w14:paraId="6C9D98A3">
            <w:pPr>
              <w:spacing w:line="440" w:lineRule="exact"/>
              <w:rPr>
                <w:rFonts w:hint="eastAsia" w:ascii="宋体" w:hAnsi="宋体" w:eastAsia="宋体" w:cs="宋体"/>
                <w:color w:val="auto"/>
                <w:sz w:val="24"/>
                <w:highlight w:val="none"/>
              </w:rPr>
            </w:pPr>
          </w:p>
        </w:tc>
        <w:tc>
          <w:tcPr>
            <w:tcW w:w="1417" w:type="dxa"/>
            <w:noWrap w:val="0"/>
            <w:vAlign w:val="center"/>
          </w:tcPr>
          <w:p w14:paraId="765339E7">
            <w:pPr>
              <w:spacing w:line="440" w:lineRule="exact"/>
              <w:rPr>
                <w:rFonts w:hint="eastAsia" w:ascii="宋体" w:hAnsi="宋体" w:eastAsia="宋体" w:cs="宋体"/>
                <w:b/>
                <w:color w:val="auto"/>
                <w:sz w:val="24"/>
                <w:highlight w:val="none"/>
              </w:rPr>
            </w:pPr>
          </w:p>
        </w:tc>
      </w:tr>
      <w:tr w14:paraId="140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8C063C6">
            <w:pPr>
              <w:spacing w:line="440" w:lineRule="exact"/>
              <w:jc w:val="center"/>
              <w:rPr>
                <w:rFonts w:hint="eastAsia" w:ascii="宋体" w:hAnsi="宋体" w:eastAsia="宋体" w:cs="宋体"/>
                <w:color w:val="auto"/>
                <w:sz w:val="24"/>
                <w:highlight w:val="none"/>
              </w:rPr>
            </w:pPr>
          </w:p>
        </w:tc>
        <w:tc>
          <w:tcPr>
            <w:tcW w:w="6038" w:type="dxa"/>
            <w:noWrap w:val="0"/>
            <w:vAlign w:val="center"/>
          </w:tcPr>
          <w:p w14:paraId="3B55DB58">
            <w:pPr>
              <w:spacing w:line="440" w:lineRule="exact"/>
              <w:rPr>
                <w:rFonts w:hint="eastAsia" w:ascii="宋体" w:hAnsi="宋体" w:eastAsia="宋体" w:cs="宋体"/>
                <w:color w:val="auto"/>
                <w:sz w:val="24"/>
                <w:highlight w:val="none"/>
              </w:rPr>
            </w:pPr>
          </w:p>
        </w:tc>
        <w:tc>
          <w:tcPr>
            <w:tcW w:w="1417" w:type="dxa"/>
            <w:noWrap w:val="0"/>
            <w:vAlign w:val="center"/>
          </w:tcPr>
          <w:p w14:paraId="7F77D9A0">
            <w:pPr>
              <w:spacing w:line="440" w:lineRule="exact"/>
              <w:rPr>
                <w:rFonts w:hint="eastAsia" w:ascii="宋体" w:hAnsi="宋体" w:eastAsia="宋体" w:cs="宋体"/>
                <w:b/>
                <w:color w:val="auto"/>
                <w:sz w:val="24"/>
                <w:highlight w:val="none"/>
              </w:rPr>
            </w:pPr>
          </w:p>
        </w:tc>
      </w:tr>
      <w:tr w14:paraId="4FD9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563F0FF1">
            <w:pPr>
              <w:spacing w:line="440" w:lineRule="exact"/>
              <w:jc w:val="center"/>
              <w:rPr>
                <w:rFonts w:hint="eastAsia" w:ascii="宋体" w:hAnsi="宋体" w:eastAsia="宋体" w:cs="宋体"/>
                <w:color w:val="auto"/>
                <w:sz w:val="24"/>
                <w:highlight w:val="none"/>
              </w:rPr>
            </w:pPr>
          </w:p>
        </w:tc>
        <w:tc>
          <w:tcPr>
            <w:tcW w:w="6038" w:type="dxa"/>
            <w:noWrap w:val="0"/>
            <w:vAlign w:val="center"/>
          </w:tcPr>
          <w:p w14:paraId="30071258">
            <w:pPr>
              <w:spacing w:line="440" w:lineRule="exact"/>
              <w:rPr>
                <w:rFonts w:hint="eastAsia" w:ascii="宋体" w:hAnsi="宋体" w:eastAsia="宋体" w:cs="宋体"/>
                <w:color w:val="auto"/>
                <w:sz w:val="24"/>
                <w:highlight w:val="none"/>
              </w:rPr>
            </w:pPr>
          </w:p>
        </w:tc>
        <w:tc>
          <w:tcPr>
            <w:tcW w:w="1417" w:type="dxa"/>
            <w:noWrap w:val="0"/>
            <w:vAlign w:val="center"/>
          </w:tcPr>
          <w:p w14:paraId="660C4382">
            <w:pPr>
              <w:spacing w:line="440" w:lineRule="exact"/>
              <w:rPr>
                <w:rFonts w:hint="eastAsia" w:ascii="宋体" w:hAnsi="宋体" w:eastAsia="宋体" w:cs="宋体"/>
                <w:b/>
                <w:color w:val="auto"/>
                <w:sz w:val="24"/>
                <w:highlight w:val="none"/>
              </w:rPr>
            </w:pPr>
          </w:p>
        </w:tc>
      </w:tr>
    </w:tbl>
    <w:p w14:paraId="7F69FEDF">
      <w:pPr>
        <w:spacing w:line="360" w:lineRule="auto"/>
        <w:jc w:val="center"/>
        <w:rPr>
          <w:rFonts w:hint="eastAsia" w:ascii="宋体" w:hAnsi="宋体" w:eastAsia="宋体" w:cs="宋体"/>
          <w:b w:val="0"/>
          <w:bCs/>
          <w:color w:val="auto"/>
          <w:sz w:val="24"/>
          <w:highlight w:val="none"/>
        </w:rPr>
      </w:pPr>
    </w:p>
    <w:p w14:paraId="18B8F42A">
      <w:pPr>
        <w:spacing w:line="360" w:lineRule="auto"/>
        <w:jc w:val="center"/>
        <w:rPr>
          <w:rFonts w:hint="eastAsia" w:ascii="宋体" w:hAnsi="宋体" w:eastAsia="宋体" w:cs="宋体"/>
          <w:b/>
          <w:color w:val="auto"/>
          <w:sz w:val="24"/>
          <w:highlight w:val="none"/>
        </w:rPr>
      </w:pPr>
    </w:p>
    <w:p w14:paraId="251EC242">
      <w:pPr>
        <w:spacing w:line="360" w:lineRule="auto"/>
        <w:jc w:val="center"/>
        <w:rPr>
          <w:rFonts w:hint="eastAsia" w:ascii="宋体" w:hAnsi="宋体" w:eastAsia="宋体" w:cs="宋体"/>
          <w:b/>
          <w:color w:val="auto"/>
          <w:sz w:val="24"/>
          <w:highlight w:val="none"/>
        </w:rPr>
      </w:pPr>
    </w:p>
    <w:p w14:paraId="076134FC">
      <w:pPr>
        <w:bidi w:val="0"/>
        <w:rPr>
          <w:rFonts w:hint="eastAsia" w:ascii="宋体" w:hAnsi="宋体" w:eastAsia="宋体" w:cs="宋体"/>
          <w:b/>
          <w:bCs/>
          <w:color w:val="auto"/>
          <w:sz w:val="24"/>
          <w:szCs w:val="24"/>
          <w:highlight w:val="none"/>
        </w:rPr>
      </w:pPr>
      <w:r>
        <w:rPr>
          <w:rFonts w:hint="eastAsia" w:ascii="宋体" w:hAnsi="宋体" w:eastAsia="宋体" w:cs="宋体"/>
          <w:color w:val="auto"/>
          <w:szCs w:val="24"/>
          <w:highlight w:val="none"/>
        </w:rPr>
        <w:br w:type="page"/>
      </w:r>
      <w:bookmarkStart w:id="89" w:name="_Toc10603"/>
      <w:bookmarkStart w:id="90" w:name="_Toc8158"/>
      <w:r>
        <w:rPr>
          <w:rFonts w:hint="eastAsia" w:ascii="宋体" w:hAnsi="宋体" w:eastAsia="宋体" w:cs="宋体"/>
          <w:b/>
          <w:bCs/>
          <w:color w:val="auto"/>
          <w:sz w:val="24"/>
          <w:szCs w:val="24"/>
          <w:highlight w:val="none"/>
        </w:rPr>
        <w:t>附件一</w:t>
      </w:r>
      <w:bookmarkEnd w:id="89"/>
      <w:bookmarkEnd w:id="90"/>
      <w:bookmarkStart w:id="91" w:name="_Toc9181"/>
      <w:bookmarkStart w:id="92" w:name="_Toc10816"/>
      <w:bookmarkStart w:id="93" w:name="_Toc5601"/>
    </w:p>
    <w:p w14:paraId="7A4F0B3D">
      <w:pPr>
        <w:bidi w:val="0"/>
        <w:jc w:val="center"/>
        <w:rPr>
          <w:rFonts w:ascii="宋体" w:hAnsi="宋体" w:eastAsia="宋体" w:cs="宋体"/>
          <w:color w:val="auto"/>
          <w:szCs w:val="24"/>
          <w:highlight w:val="none"/>
        </w:rPr>
      </w:pPr>
      <w:r>
        <w:rPr>
          <w:rFonts w:hint="eastAsia" w:ascii="宋体" w:hAnsi="宋体" w:eastAsia="宋体" w:cs="宋体"/>
          <w:b/>
          <w:bCs/>
          <w:color w:val="auto"/>
          <w:sz w:val="24"/>
          <w:szCs w:val="24"/>
          <w:highlight w:val="none"/>
        </w:rPr>
        <w:t>报价单</w:t>
      </w:r>
      <w:bookmarkEnd w:id="91"/>
      <w:bookmarkEnd w:id="92"/>
      <w:bookmarkEnd w:id="93"/>
    </w:p>
    <w:p w14:paraId="000B3711">
      <w:pPr>
        <w:rPr>
          <w:rFonts w:ascii="宋体" w:hAnsi="宋体" w:eastAsia="宋体" w:cs="宋体"/>
          <w:color w:val="auto"/>
          <w:highlight w:val="none"/>
        </w:rPr>
      </w:pPr>
    </w:p>
    <w:tbl>
      <w:tblPr>
        <w:tblStyle w:val="4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0DC2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noWrap w:val="0"/>
            <w:vAlign w:val="center"/>
          </w:tcPr>
          <w:p w14:paraId="587B4CC5">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078" w:type="dxa"/>
            <w:noWrap w:val="0"/>
            <w:vAlign w:val="center"/>
          </w:tcPr>
          <w:p w14:paraId="56ABB847">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服务内容</w:t>
            </w:r>
          </w:p>
        </w:tc>
        <w:tc>
          <w:tcPr>
            <w:tcW w:w="1214" w:type="dxa"/>
            <w:noWrap w:val="0"/>
            <w:vAlign w:val="center"/>
          </w:tcPr>
          <w:p w14:paraId="71E0F0A7">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w:t>
            </w:r>
          </w:p>
        </w:tc>
        <w:tc>
          <w:tcPr>
            <w:tcW w:w="1091" w:type="dxa"/>
            <w:noWrap w:val="0"/>
            <w:vAlign w:val="center"/>
          </w:tcPr>
          <w:p w14:paraId="7EAE2FD9">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1821" w:type="dxa"/>
            <w:noWrap w:val="0"/>
            <w:vAlign w:val="center"/>
          </w:tcPr>
          <w:p w14:paraId="5DA596CA">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小计金额（元）</w:t>
            </w:r>
          </w:p>
        </w:tc>
      </w:tr>
      <w:tr w14:paraId="19D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noWrap w:val="0"/>
            <w:vAlign w:val="center"/>
          </w:tcPr>
          <w:p w14:paraId="7BB55897">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4078" w:type="dxa"/>
            <w:noWrap w:val="0"/>
            <w:vAlign w:val="center"/>
          </w:tcPr>
          <w:p w14:paraId="56845334">
            <w:pPr>
              <w:jc w:val="center"/>
              <w:rPr>
                <w:rFonts w:ascii="宋体" w:hAnsi="宋体" w:eastAsia="宋体" w:cs="宋体"/>
                <w:bCs/>
                <w:color w:val="auto"/>
                <w:sz w:val="24"/>
                <w:szCs w:val="24"/>
                <w:highlight w:val="none"/>
              </w:rPr>
            </w:pPr>
          </w:p>
        </w:tc>
        <w:tc>
          <w:tcPr>
            <w:tcW w:w="1214" w:type="dxa"/>
            <w:noWrap w:val="0"/>
            <w:vAlign w:val="center"/>
          </w:tcPr>
          <w:p w14:paraId="1E2F11DB">
            <w:pPr>
              <w:jc w:val="center"/>
              <w:rPr>
                <w:rFonts w:ascii="宋体" w:hAnsi="宋体" w:eastAsia="宋体" w:cs="宋体"/>
                <w:bCs/>
                <w:color w:val="auto"/>
                <w:sz w:val="24"/>
                <w:szCs w:val="24"/>
                <w:highlight w:val="none"/>
              </w:rPr>
            </w:pPr>
          </w:p>
        </w:tc>
        <w:tc>
          <w:tcPr>
            <w:tcW w:w="1091" w:type="dxa"/>
            <w:noWrap w:val="0"/>
            <w:vAlign w:val="center"/>
          </w:tcPr>
          <w:p w14:paraId="4D570510">
            <w:pPr>
              <w:jc w:val="center"/>
              <w:rPr>
                <w:rFonts w:ascii="宋体" w:hAnsi="宋体" w:eastAsia="宋体" w:cs="宋体"/>
                <w:bCs/>
                <w:color w:val="auto"/>
                <w:sz w:val="24"/>
                <w:szCs w:val="24"/>
                <w:highlight w:val="none"/>
              </w:rPr>
            </w:pPr>
          </w:p>
        </w:tc>
        <w:tc>
          <w:tcPr>
            <w:tcW w:w="1821" w:type="dxa"/>
            <w:noWrap w:val="0"/>
            <w:vAlign w:val="center"/>
          </w:tcPr>
          <w:p w14:paraId="45FD4FE2">
            <w:pPr>
              <w:jc w:val="center"/>
              <w:rPr>
                <w:rFonts w:ascii="宋体" w:hAnsi="宋体" w:eastAsia="宋体" w:cs="宋体"/>
                <w:bCs/>
                <w:color w:val="auto"/>
                <w:sz w:val="24"/>
                <w:szCs w:val="24"/>
                <w:highlight w:val="none"/>
              </w:rPr>
            </w:pPr>
          </w:p>
        </w:tc>
      </w:tr>
      <w:tr w14:paraId="0DEC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4B5E33E6">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4078" w:type="dxa"/>
            <w:noWrap w:val="0"/>
            <w:vAlign w:val="center"/>
          </w:tcPr>
          <w:p w14:paraId="76442BA7">
            <w:pPr>
              <w:jc w:val="center"/>
              <w:rPr>
                <w:rFonts w:ascii="宋体" w:hAnsi="宋体" w:eastAsia="宋体" w:cs="宋体"/>
                <w:bCs/>
                <w:color w:val="auto"/>
                <w:sz w:val="24"/>
                <w:szCs w:val="24"/>
                <w:highlight w:val="none"/>
              </w:rPr>
            </w:pPr>
          </w:p>
        </w:tc>
        <w:tc>
          <w:tcPr>
            <w:tcW w:w="1214" w:type="dxa"/>
            <w:noWrap w:val="0"/>
            <w:vAlign w:val="center"/>
          </w:tcPr>
          <w:p w14:paraId="5DD712B6">
            <w:pPr>
              <w:jc w:val="center"/>
              <w:rPr>
                <w:rFonts w:ascii="宋体" w:hAnsi="宋体" w:eastAsia="宋体" w:cs="宋体"/>
                <w:bCs/>
                <w:color w:val="auto"/>
                <w:sz w:val="24"/>
                <w:szCs w:val="24"/>
                <w:highlight w:val="none"/>
              </w:rPr>
            </w:pPr>
          </w:p>
        </w:tc>
        <w:tc>
          <w:tcPr>
            <w:tcW w:w="1091" w:type="dxa"/>
            <w:noWrap w:val="0"/>
            <w:vAlign w:val="center"/>
          </w:tcPr>
          <w:p w14:paraId="1C4ACE4C">
            <w:pPr>
              <w:jc w:val="center"/>
              <w:rPr>
                <w:rFonts w:ascii="宋体" w:hAnsi="宋体" w:eastAsia="宋体" w:cs="宋体"/>
                <w:bCs/>
                <w:color w:val="auto"/>
                <w:sz w:val="24"/>
                <w:szCs w:val="24"/>
                <w:highlight w:val="none"/>
              </w:rPr>
            </w:pPr>
          </w:p>
        </w:tc>
        <w:tc>
          <w:tcPr>
            <w:tcW w:w="1821" w:type="dxa"/>
            <w:noWrap w:val="0"/>
            <w:vAlign w:val="center"/>
          </w:tcPr>
          <w:p w14:paraId="60336341">
            <w:pPr>
              <w:jc w:val="center"/>
              <w:rPr>
                <w:rFonts w:ascii="宋体" w:hAnsi="宋体" w:eastAsia="宋体" w:cs="宋体"/>
                <w:bCs/>
                <w:color w:val="auto"/>
                <w:sz w:val="24"/>
                <w:szCs w:val="24"/>
                <w:highlight w:val="none"/>
              </w:rPr>
            </w:pPr>
          </w:p>
        </w:tc>
      </w:tr>
      <w:tr w14:paraId="5448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226B347A">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4078" w:type="dxa"/>
            <w:noWrap w:val="0"/>
            <w:vAlign w:val="center"/>
          </w:tcPr>
          <w:p w14:paraId="1D38B1FD">
            <w:pPr>
              <w:jc w:val="center"/>
              <w:rPr>
                <w:rFonts w:ascii="宋体" w:hAnsi="宋体" w:eastAsia="宋体" w:cs="宋体"/>
                <w:bCs/>
                <w:color w:val="auto"/>
                <w:sz w:val="24"/>
                <w:szCs w:val="24"/>
                <w:highlight w:val="none"/>
              </w:rPr>
            </w:pPr>
          </w:p>
        </w:tc>
        <w:tc>
          <w:tcPr>
            <w:tcW w:w="1214" w:type="dxa"/>
            <w:noWrap w:val="0"/>
            <w:vAlign w:val="center"/>
          </w:tcPr>
          <w:p w14:paraId="32399444">
            <w:pPr>
              <w:jc w:val="center"/>
              <w:rPr>
                <w:rFonts w:ascii="宋体" w:hAnsi="宋体" w:eastAsia="宋体" w:cs="宋体"/>
                <w:bCs/>
                <w:color w:val="auto"/>
                <w:sz w:val="24"/>
                <w:szCs w:val="24"/>
                <w:highlight w:val="none"/>
              </w:rPr>
            </w:pPr>
          </w:p>
        </w:tc>
        <w:tc>
          <w:tcPr>
            <w:tcW w:w="1091" w:type="dxa"/>
            <w:noWrap w:val="0"/>
            <w:vAlign w:val="center"/>
          </w:tcPr>
          <w:p w14:paraId="1DF6A92E">
            <w:pPr>
              <w:jc w:val="center"/>
              <w:rPr>
                <w:rFonts w:ascii="宋体" w:hAnsi="宋体" w:eastAsia="宋体" w:cs="宋体"/>
                <w:bCs/>
                <w:color w:val="auto"/>
                <w:sz w:val="24"/>
                <w:szCs w:val="24"/>
                <w:highlight w:val="none"/>
              </w:rPr>
            </w:pPr>
          </w:p>
        </w:tc>
        <w:tc>
          <w:tcPr>
            <w:tcW w:w="1821" w:type="dxa"/>
            <w:noWrap w:val="0"/>
            <w:vAlign w:val="center"/>
          </w:tcPr>
          <w:p w14:paraId="3340CAAE">
            <w:pPr>
              <w:jc w:val="center"/>
              <w:rPr>
                <w:rFonts w:ascii="宋体" w:hAnsi="宋体" w:eastAsia="宋体" w:cs="宋体"/>
                <w:bCs/>
                <w:color w:val="auto"/>
                <w:sz w:val="24"/>
                <w:szCs w:val="24"/>
                <w:highlight w:val="none"/>
              </w:rPr>
            </w:pPr>
          </w:p>
        </w:tc>
      </w:tr>
      <w:tr w14:paraId="601F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42902AD4">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4078" w:type="dxa"/>
            <w:noWrap w:val="0"/>
            <w:vAlign w:val="center"/>
          </w:tcPr>
          <w:p w14:paraId="531E5964">
            <w:pPr>
              <w:jc w:val="center"/>
              <w:rPr>
                <w:rFonts w:ascii="宋体" w:hAnsi="宋体" w:eastAsia="宋体" w:cs="宋体"/>
                <w:bCs/>
                <w:color w:val="auto"/>
                <w:sz w:val="24"/>
                <w:szCs w:val="24"/>
                <w:highlight w:val="none"/>
              </w:rPr>
            </w:pPr>
          </w:p>
        </w:tc>
        <w:tc>
          <w:tcPr>
            <w:tcW w:w="1214" w:type="dxa"/>
            <w:noWrap w:val="0"/>
            <w:vAlign w:val="center"/>
          </w:tcPr>
          <w:p w14:paraId="2CE7051E">
            <w:pPr>
              <w:jc w:val="center"/>
              <w:rPr>
                <w:rFonts w:ascii="宋体" w:hAnsi="宋体" w:eastAsia="宋体" w:cs="宋体"/>
                <w:bCs/>
                <w:color w:val="auto"/>
                <w:sz w:val="24"/>
                <w:szCs w:val="24"/>
                <w:highlight w:val="none"/>
              </w:rPr>
            </w:pPr>
          </w:p>
        </w:tc>
        <w:tc>
          <w:tcPr>
            <w:tcW w:w="1091" w:type="dxa"/>
            <w:noWrap w:val="0"/>
            <w:vAlign w:val="center"/>
          </w:tcPr>
          <w:p w14:paraId="6F715877">
            <w:pPr>
              <w:jc w:val="center"/>
              <w:rPr>
                <w:rFonts w:ascii="宋体" w:hAnsi="宋体" w:eastAsia="宋体" w:cs="宋体"/>
                <w:bCs/>
                <w:color w:val="auto"/>
                <w:sz w:val="24"/>
                <w:szCs w:val="24"/>
                <w:highlight w:val="none"/>
              </w:rPr>
            </w:pPr>
          </w:p>
        </w:tc>
        <w:tc>
          <w:tcPr>
            <w:tcW w:w="1821" w:type="dxa"/>
            <w:noWrap w:val="0"/>
            <w:vAlign w:val="center"/>
          </w:tcPr>
          <w:p w14:paraId="7E82C66F">
            <w:pPr>
              <w:jc w:val="center"/>
              <w:rPr>
                <w:rFonts w:ascii="宋体" w:hAnsi="宋体" w:eastAsia="宋体" w:cs="宋体"/>
                <w:bCs/>
                <w:color w:val="auto"/>
                <w:sz w:val="24"/>
                <w:szCs w:val="24"/>
                <w:highlight w:val="none"/>
              </w:rPr>
            </w:pPr>
          </w:p>
        </w:tc>
      </w:tr>
      <w:tr w14:paraId="405D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3D11569B">
            <w:pPr>
              <w:jc w:val="center"/>
              <w:rPr>
                <w:rFonts w:ascii="宋体" w:hAnsi="宋体" w:eastAsia="宋体" w:cs="宋体"/>
                <w:bCs/>
                <w:color w:val="auto"/>
                <w:sz w:val="24"/>
                <w:szCs w:val="24"/>
                <w:highlight w:val="none"/>
              </w:rPr>
            </w:pPr>
          </w:p>
        </w:tc>
        <w:tc>
          <w:tcPr>
            <w:tcW w:w="4078" w:type="dxa"/>
            <w:noWrap w:val="0"/>
            <w:vAlign w:val="center"/>
          </w:tcPr>
          <w:p w14:paraId="77E6B9CF">
            <w:pPr>
              <w:pStyle w:val="85"/>
              <w:ind w:left="-108"/>
              <w:jc w:val="center"/>
              <w:rPr>
                <w:rFonts w:ascii="宋体" w:hAnsi="宋体" w:eastAsia="宋体" w:cs="宋体"/>
                <w:bCs/>
                <w:color w:val="auto"/>
                <w:szCs w:val="24"/>
                <w:highlight w:val="none"/>
              </w:rPr>
            </w:pPr>
            <w:r>
              <w:rPr>
                <w:rFonts w:hint="eastAsia" w:ascii="宋体" w:hAnsi="宋体" w:eastAsia="宋体" w:cs="宋体"/>
                <w:bCs/>
                <w:color w:val="auto"/>
                <w:szCs w:val="24"/>
                <w:highlight w:val="none"/>
              </w:rPr>
              <w:t>其他费用</w:t>
            </w:r>
          </w:p>
        </w:tc>
        <w:tc>
          <w:tcPr>
            <w:tcW w:w="1214" w:type="dxa"/>
            <w:noWrap w:val="0"/>
            <w:vAlign w:val="center"/>
          </w:tcPr>
          <w:p w14:paraId="141623B4">
            <w:pPr>
              <w:jc w:val="center"/>
              <w:rPr>
                <w:rFonts w:ascii="宋体" w:hAnsi="宋体" w:eastAsia="宋体" w:cs="宋体"/>
                <w:bCs/>
                <w:color w:val="auto"/>
                <w:sz w:val="24"/>
                <w:szCs w:val="24"/>
                <w:highlight w:val="none"/>
              </w:rPr>
            </w:pPr>
          </w:p>
        </w:tc>
        <w:tc>
          <w:tcPr>
            <w:tcW w:w="1091" w:type="dxa"/>
            <w:noWrap w:val="0"/>
            <w:vAlign w:val="center"/>
          </w:tcPr>
          <w:p w14:paraId="0FE76D7A">
            <w:pPr>
              <w:jc w:val="center"/>
              <w:rPr>
                <w:rFonts w:ascii="宋体" w:hAnsi="宋体" w:eastAsia="宋体" w:cs="宋体"/>
                <w:bCs/>
                <w:color w:val="auto"/>
                <w:sz w:val="24"/>
                <w:szCs w:val="24"/>
                <w:highlight w:val="none"/>
              </w:rPr>
            </w:pPr>
          </w:p>
        </w:tc>
        <w:tc>
          <w:tcPr>
            <w:tcW w:w="1821" w:type="dxa"/>
            <w:noWrap w:val="0"/>
            <w:vAlign w:val="center"/>
          </w:tcPr>
          <w:p w14:paraId="53C95B35">
            <w:pPr>
              <w:jc w:val="center"/>
              <w:rPr>
                <w:rFonts w:ascii="宋体" w:hAnsi="宋体" w:eastAsia="宋体" w:cs="宋体"/>
                <w:bCs/>
                <w:color w:val="auto"/>
                <w:sz w:val="24"/>
                <w:szCs w:val="24"/>
                <w:highlight w:val="none"/>
              </w:rPr>
            </w:pPr>
          </w:p>
        </w:tc>
      </w:tr>
      <w:tr w14:paraId="7590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600EC362">
            <w:pPr>
              <w:jc w:val="center"/>
              <w:rPr>
                <w:rFonts w:ascii="宋体" w:hAnsi="宋体" w:eastAsia="宋体" w:cs="宋体"/>
                <w:bCs/>
                <w:color w:val="auto"/>
                <w:sz w:val="24"/>
                <w:szCs w:val="24"/>
                <w:highlight w:val="none"/>
              </w:rPr>
            </w:pPr>
          </w:p>
        </w:tc>
        <w:tc>
          <w:tcPr>
            <w:tcW w:w="4078" w:type="dxa"/>
            <w:noWrap w:val="0"/>
            <w:vAlign w:val="center"/>
          </w:tcPr>
          <w:p w14:paraId="26CC948F">
            <w:pPr>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214" w:type="dxa"/>
            <w:noWrap w:val="0"/>
            <w:vAlign w:val="center"/>
          </w:tcPr>
          <w:p w14:paraId="185BF129">
            <w:pPr>
              <w:jc w:val="center"/>
              <w:rPr>
                <w:rFonts w:ascii="宋体" w:hAnsi="宋体" w:eastAsia="宋体" w:cs="宋体"/>
                <w:bCs/>
                <w:color w:val="auto"/>
                <w:sz w:val="24"/>
                <w:szCs w:val="24"/>
                <w:highlight w:val="none"/>
              </w:rPr>
            </w:pPr>
          </w:p>
        </w:tc>
        <w:tc>
          <w:tcPr>
            <w:tcW w:w="1091" w:type="dxa"/>
            <w:noWrap w:val="0"/>
            <w:vAlign w:val="center"/>
          </w:tcPr>
          <w:p w14:paraId="7D583C4F">
            <w:pPr>
              <w:jc w:val="center"/>
              <w:rPr>
                <w:rFonts w:ascii="宋体" w:hAnsi="宋体" w:eastAsia="宋体" w:cs="宋体"/>
                <w:bCs/>
                <w:color w:val="auto"/>
                <w:sz w:val="24"/>
                <w:szCs w:val="24"/>
                <w:highlight w:val="none"/>
              </w:rPr>
            </w:pPr>
          </w:p>
        </w:tc>
        <w:tc>
          <w:tcPr>
            <w:tcW w:w="1821" w:type="dxa"/>
            <w:noWrap w:val="0"/>
            <w:vAlign w:val="center"/>
          </w:tcPr>
          <w:p w14:paraId="78748222">
            <w:pPr>
              <w:jc w:val="center"/>
              <w:rPr>
                <w:rFonts w:ascii="宋体" w:hAnsi="宋体" w:eastAsia="宋体" w:cs="宋体"/>
                <w:bCs/>
                <w:color w:val="auto"/>
                <w:sz w:val="24"/>
                <w:szCs w:val="24"/>
                <w:highlight w:val="none"/>
              </w:rPr>
            </w:pPr>
          </w:p>
        </w:tc>
      </w:tr>
      <w:tr w14:paraId="2925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noWrap w:val="0"/>
            <w:vAlign w:val="center"/>
          </w:tcPr>
          <w:p w14:paraId="503D4B0A">
            <w:pPr>
              <w:jc w:val="center"/>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合计金额（元）</w:t>
            </w:r>
          </w:p>
        </w:tc>
        <w:tc>
          <w:tcPr>
            <w:tcW w:w="1821" w:type="dxa"/>
            <w:noWrap w:val="0"/>
            <w:vAlign w:val="center"/>
          </w:tcPr>
          <w:p w14:paraId="30CE64F1">
            <w:pPr>
              <w:jc w:val="center"/>
              <w:rPr>
                <w:rFonts w:ascii="宋体" w:hAnsi="宋体" w:eastAsia="宋体" w:cs="宋体"/>
                <w:bCs/>
                <w:color w:val="auto"/>
                <w:sz w:val="24"/>
                <w:szCs w:val="24"/>
                <w:highlight w:val="none"/>
              </w:rPr>
            </w:pPr>
          </w:p>
        </w:tc>
      </w:tr>
    </w:tbl>
    <w:p w14:paraId="66E3F8A5">
      <w:pPr>
        <w:widowControl w:val="0"/>
        <w:spacing w:line="360" w:lineRule="auto"/>
        <w:jc w:val="both"/>
        <w:rPr>
          <w:rFonts w:ascii="宋体" w:hAnsi="宋体" w:eastAsia="宋体" w:cs="宋体"/>
          <w:b/>
          <w:bCs/>
          <w:color w:val="auto"/>
          <w:kern w:val="2"/>
          <w:sz w:val="24"/>
          <w:highlight w:val="none"/>
          <w:lang w:val="en-US" w:eastAsia="zh-CN" w:bidi="ar-SA"/>
        </w:rPr>
      </w:pPr>
    </w:p>
    <w:p w14:paraId="218C8165">
      <w:pPr>
        <w:pStyle w:val="23"/>
        <w:spacing w:line="560" w:lineRule="exact"/>
        <w:rPr>
          <w:rFonts w:hint="eastAsia"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供应商公章：</w:t>
      </w:r>
    </w:p>
    <w:p w14:paraId="1971F30C">
      <w:pPr>
        <w:adjustRightInd w:val="0"/>
        <w:snapToGrid w:val="0"/>
        <w:spacing w:line="560" w:lineRule="exac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日  期：   年   月   日</w:t>
      </w:r>
    </w:p>
    <w:p w14:paraId="70E0A816">
      <w:pPr>
        <w:adjustRightInd w:val="0"/>
        <w:snapToGrid w:val="0"/>
        <w:spacing w:line="360" w:lineRule="auto"/>
        <w:rPr>
          <w:rFonts w:hint="eastAsia" w:ascii="宋体" w:hAnsi="宋体" w:eastAsia="宋体" w:cs="宋体"/>
          <w:b/>
          <w:bCs/>
          <w:color w:val="auto"/>
          <w:sz w:val="24"/>
          <w:szCs w:val="28"/>
          <w:highlight w:val="none"/>
        </w:rPr>
      </w:pPr>
    </w:p>
    <w:p w14:paraId="7491A053">
      <w:pPr>
        <w:adjustRightInd w:val="0"/>
        <w:snapToGrid w:val="0"/>
        <w:spacing w:line="360" w:lineRule="auto"/>
        <w:rPr>
          <w:rFonts w:hint="eastAsia" w:ascii="宋体" w:hAnsi="宋体" w:eastAsia="宋体" w:cs="宋体"/>
          <w:b/>
          <w:color w:val="auto"/>
          <w:sz w:val="24"/>
          <w:szCs w:val="24"/>
          <w:highlight w:val="none"/>
        </w:rPr>
      </w:pPr>
      <w:bookmarkStart w:id="94" w:name="_Toc2007"/>
      <w:bookmarkStart w:id="95" w:name="_Toc16998"/>
    </w:p>
    <w:p w14:paraId="2A80626B">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注：表中所列服务为对应本项目需求的全部服务内容。如有漏项或缺项，供应商承担全部责任。</w:t>
      </w:r>
    </w:p>
    <w:p w14:paraId="486B7768">
      <w:pPr>
        <w:pStyle w:val="3"/>
        <w:wordWrap w:val="0"/>
        <w:spacing w:before="0" w:after="0" w:line="520" w:lineRule="exact"/>
        <w:rPr>
          <w:rFonts w:hint="eastAsia" w:ascii="宋体" w:hAnsi="宋体" w:eastAsia="宋体" w:cs="宋体"/>
          <w:color w:val="auto"/>
          <w:sz w:val="24"/>
          <w:szCs w:val="24"/>
          <w:highlight w:val="none"/>
        </w:rPr>
      </w:pPr>
    </w:p>
    <w:p w14:paraId="3406A4ED">
      <w:pPr>
        <w:pStyle w:val="3"/>
        <w:wordWrap w:val="0"/>
        <w:spacing w:before="0" w:after="0" w:line="520" w:lineRule="exact"/>
        <w:rPr>
          <w:rFonts w:hint="eastAsia" w:ascii="宋体" w:hAnsi="宋体" w:eastAsia="宋体" w:cs="宋体"/>
          <w:color w:val="auto"/>
          <w:sz w:val="24"/>
          <w:szCs w:val="24"/>
          <w:highlight w:val="none"/>
        </w:rPr>
      </w:pPr>
    </w:p>
    <w:p w14:paraId="0690E160">
      <w:pPr>
        <w:pStyle w:val="3"/>
        <w:wordWrap w:val="0"/>
        <w:spacing w:before="0" w:after="0" w:line="520" w:lineRule="exact"/>
        <w:rPr>
          <w:rFonts w:hint="eastAsia" w:ascii="宋体" w:hAnsi="宋体" w:eastAsia="宋体" w:cs="宋体"/>
          <w:color w:val="auto"/>
          <w:sz w:val="24"/>
          <w:szCs w:val="24"/>
          <w:highlight w:val="none"/>
        </w:rPr>
      </w:pPr>
    </w:p>
    <w:p w14:paraId="629708A7">
      <w:pPr>
        <w:bidi w:val="0"/>
        <w:rPr>
          <w:rFonts w:hint="eastAsia" w:ascii="宋体" w:hAnsi="宋体" w:eastAsia="宋体" w:cs="宋体"/>
          <w:b/>
          <w:bCs/>
          <w:color w:val="auto"/>
          <w:sz w:val="24"/>
          <w:szCs w:val="22"/>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24"/>
          <w:szCs w:val="22"/>
          <w:highlight w:val="none"/>
        </w:rPr>
        <w:t>附件二</w:t>
      </w:r>
      <w:bookmarkEnd w:id="94"/>
      <w:bookmarkEnd w:id="95"/>
    </w:p>
    <w:p w14:paraId="2D0CCB6D">
      <w:pPr>
        <w:bidi w:val="0"/>
        <w:jc w:val="center"/>
        <w:rPr>
          <w:rFonts w:hint="eastAsia" w:ascii="宋体" w:hAnsi="宋体" w:eastAsia="宋体" w:cs="宋体"/>
          <w:b/>
          <w:bCs/>
          <w:color w:val="auto"/>
          <w:sz w:val="24"/>
          <w:szCs w:val="22"/>
          <w:highlight w:val="none"/>
        </w:rPr>
      </w:pPr>
      <w:bookmarkStart w:id="96" w:name="_Toc3262"/>
      <w:bookmarkStart w:id="97" w:name="_Toc17280"/>
      <w:bookmarkStart w:id="98" w:name="_Toc29464"/>
      <w:r>
        <w:rPr>
          <w:rFonts w:hint="eastAsia" w:ascii="宋体" w:hAnsi="宋体" w:eastAsia="宋体" w:cs="宋体"/>
          <w:b/>
          <w:bCs/>
          <w:color w:val="auto"/>
          <w:sz w:val="24"/>
          <w:szCs w:val="22"/>
          <w:highlight w:val="none"/>
        </w:rPr>
        <w:t>供应商基本信息</w:t>
      </w:r>
      <w:bookmarkEnd w:id="96"/>
      <w:bookmarkEnd w:id="97"/>
      <w:bookmarkEnd w:id="98"/>
    </w:p>
    <w:p w14:paraId="46366957">
      <w:pPr>
        <w:keepNext/>
        <w:keepLines/>
        <w:pageBreakBefore w:val="0"/>
        <w:widowControl w:val="0"/>
        <w:kinsoku/>
        <w:wordWrap/>
        <w:overflowPunct/>
        <w:topLinePunct w:val="0"/>
        <w:autoSpaceDE/>
        <w:autoSpaceDN/>
        <w:bidi w:val="0"/>
        <w:adjustRightInd w:val="0"/>
        <w:snapToGrid/>
        <w:spacing w:before="0" w:after="0" w:line="520" w:lineRule="exact"/>
        <w:jc w:val="center"/>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营业执照等资料，</w:t>
      </w:r>
      <w:r>
        <w:rPr>
          <w:rFonts w:hint="eastAsia" w:ascii="宋体" w:hAnsi="宋体" w:eastAsia="宋体" w:cs="宋体"/>
          <w:color w:val="auto"/>
          <w:sz w:val="24"/>
          <w:szCs w:val="24"/>
          <w:highlight w:val="none"/>
        </w:rPr>
        <w:t>格式自拟）</w:t>
      </w:r>
    </w:p>
    <w:p w14:paraId="618ED638">
      <w:pPr>
        <w:bidi w:val="0"/>
        <w:rPr>
          <w:rFonts w:hint="eastAsia" w:ascii="宋体" w:hAnsi="宋体" w:eastAsia="宋体" w:cs="宋体"/>
          <w:b/>
          <w:bCs/>
          <w:color w:val="auto"/>
          <w:sz w:val="24"/>
          <w:szCs w:val="22"/>
          <w:highlight w:val="none"/>
        </w:rPr>
      </w:pPr>
      <w:bookmarkStart w:id="99" w:name="_Toc11062"/>
      <w:bookmarkStart w:id="100" w:name="_Toc18369"/>
    </w:p>
    <w:p w14:paraId="3C63D028">
      <w:pPr>
        <w:bidi w:val="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附件三</w:t>
      </w:r>
      <w:bookmarkEnd w:id="99"/>
      <w:bookmarkEnd w:id="100"/>
    </w:p>
    <w:p w14:paraId="75F426C3">
      <w:pPr>
        <w:bidi w:val="0"/>
        <w:jc w:val="center"/>
        <w:rPr>
          <w:rFonts w:hint="eastAsia" w:ascii="宋体" w:hAnsi="宋体" w:eastAsia="宋体" w:cs="宋体"/>
          <w:color w:val="auto"/>
          <w:szCs w:val="24"/>
          <w:highlight w:val="none"/>
        </w:rPr>
      </w:pPr>
      <w:bookmarkStart w:id="101" w:name="_Toc10696"/>
      <w:bookmarkStart w:id="102" w:name="_Toc13141"/>
      <w:bookmarkStart w:id="103" w:name="_Toc30135"/>
      <w:r>
        <w:rPr>
          <w:rFonts w:hint="eastAsia" w:ascii="宋体" w:hAnsi="宋体" w:eastAsia="宋体" w:cs="宋体"/>
          <w:b/>
          <w:bCs/>
          <w:color w:val="auto"/>
          <w:sz w:val="24"/>
          <w:szCs w:val="22"/>
          <w:highlight w:val="none"/>
        </w:rPr>
        <w:t>磋商授权书</w:t>
      </w:r>
      <w:bookmarkEnd w:id="101"/>
      <w:bookmarkEnd w:id="102"/>
      <w:bookmarkEnd w:id="103"/>
    </w:p>
    <w:p w14:paraId="4E14A283">
      <w:pPr>
        <w:spacing w:line="520" w:lineRule="exact"/>
        <w:rPr>
          <w:rFonts w:hint="eastAsia" w:ascii="宋体" w:hAnsi="宋体" w:eastAsia="宋体" w:cs="宋体"/>
          <w:color w:val="auto"/>
          <w:sz w:val="24"/>
          <w:szCs w:val="24"/>
          <w:highlight w:val="none"/>
        </w:rPr>
      </w:pPr>
    </w:p>
    <w:p w14:paraId="1CAC05CB">
      <w:p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致：_________________</w:t>
      </w:r>
    </w:p>
    <w:p w14:paraId="2FCEC736">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（被授权人的姓名）为我方就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）项目磋商活动的合法代理人，以我方名义全权处理与该项目磋商、签订合同以及合同执行有关的一切事务。</w:t>
      </w:r>
    </w:p>
    <w:p w14:paraId="228304B0">
      <w:pPr>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F4DCB07">
      <w:pPr>
        <w:spacing w:line="520" w:lineRule="exact"/>
        <w:jc w:val="left"/>
        <w:rPr>
          <w:rFonts w:hint="eastAsia" w:ascii="宋体" w:hAnsi="宋体" w:eastAsia="宋体" w:cs="宋体"/>
          <w:color w:val="auto"/>
          <w:sz w:val="24"/>
          <w:szCs w:val="24"/>
          <w:highlight w:val="none"/>
        </w:rPr>
      </w:pPr>
    </w:p>
    <w:p w14:paraId="778B3344">
      <w:pPr>
        <w:spacing w:line="520" w:lineRule="exact"/>
        <w:ind w:firstLine="1084" w:firstLineChars="450"/>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462FFD8B">
      <w:pPr>
        <w:spacing w:line="52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60BD0D68">
      <w:pPr>
        <w:spacing w:line="52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联系手机：</w:t>
      </w:r>
      <w:r>
        <w:rPr>
          <w:rFonts w:hint="eastAsia" w:ascii="宋体" w:hAnsi="宋体" w:eastAsia="宋体" w:cs="宋体"/>
          <w:color w:val="auto"/>
          <w:sz w:val="24"/>
          <w:szCs w:val="24"/>
          <w:highlight w:val="none"/>
          <w:u w:val="single"/>
        </w:rPr>
        <w:t xml:space="preserve">                        </w:t>
      </w:r>
    </w:p>
    <w:p w14:paraId="10C8E2BF">
      <w:pPr>
        <w:spacing w:line="520" w:lineRule="exact"/>
        <w:ind w:firstLine="1200" w:firstLineChars="5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固定电话：</w:t>
      </w:r>
      <w:r>
        <w:rPr>
          <w:rFonts w:hint="eastAsia" w:ascii="宋体" w:hAnsi="宋体" w:eastAsia="宋体" w:cs="宋体"/>
          <w:color w:val="auto"/>
          <w:sz w:val="24"/>
          <w:szCs w:val="24"/>
          <w:highlight w:val="none"/>
          <w:u w:val="single"/>
        </w:rPr>
        <w:t xml:space="preserve">                         </w:t>
      </w:r>
    </w:p>
    <w:p w14:paraId="5A86C8D7">
      <w:pPr>
        <w:spacing w:line="520" w:lineRule="exact"/>
        <w:ind w:firstLine="1084" w:firstLineChars="450"/>
        <w:jc w:val="left"/>
        <w:rPr>
          <w:rFonts w:hint="eastAsia" w:ascii="宋体" w:hAnsi="宋体" w:eastAsia="宋体" w:cs="宋体"/>
          <w:b/>
          <w:bCs/>
          <w:color w:val="auto"/>
          <w:sz w:val="24"/>
          <w:szCs w:val="24"/>
          <w:highlight w:val="none"/>
        </w:rPr>
      </w:pPr>
    </w:p>
    <w:p w14:paraId="0BC0D909">
      <w:pPr>
        <w:spacing w:line="520" w:lineRule="exact"/>
        <w:ind w:firstLine="1205" w:firstLineChars="5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代理人（被授权人）</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签字</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0AE133D">
      <w:pPr>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023F52F9">
      <w:pPr>
        <w:spacing w:line="52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联系手机：</w:t>
      </w:r>
      <w:r>
        <w:rPr>
          <w:rFonts w:hint="eastAsia" w:ascii="宋体" w:hAnsi="宋体" w:eastAsia="宋体" w:cs="宋体"/>
          <w:color w:val="auto"/>
          <w:sz w:val="24"/>
          <w:szCs w:val="24"/>
          <w:highlight w:val="none"/>
          <w:u w:val="single"/>
        </w:rPr>
        <w:t xml:space="preserve">                          </w:t>
      </w:r>
    </w:p>
    <w:p w14:paraId="4E719148">
      <w:pPr>
        <w:spacing w:line="520" w:lineRule="exact"/>
        <w:ind w:firstLine="1200" w:firstLineChars="5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固定电话：</w:t>
      </w:r>
      <w:r>
        <w:rPr>
          <w:rFonts w:hint="eastAsia" w:ascii="宋体" w:hAnsi="宋体" w:eastAsia="宋体" w:cs="宋体"/>
          <w:color w:val="auto"/>
          <w:sz w:val="24"/>
          <w:szCs w:val="24"/>
          <w:highlight w:val="none"/>
          <w:u w:val="single"/>
        </w:rPr>
        <w:t xml:space="preserve">                          </w:t>
      </w:r>
    </w:p>
    <w:p w14:paraId="5CC6A5F4">
      <w:pPr>
        <w:spacing w:line="520" w:lineRule="exact"/>
        <w:ind w:firstLine="4245" w:firstLineChars="1762"/>
        <w:rPr>
          <w:rFonts w:hint="eastAsia" w:ascii="宋体" w:hAnsi="宋体" w:eastAsia="宋体" w:cs="宋体"/>
          <w:b/>
          <w:bCs/>
          <w:color w:val="auto"/>
          <w:sz w:val="24"/>
          <w:szCs w:val="24"/>
          <w:highlight w:val="none"/>
        </w:rPr>
      </w:pPr>
    </w:p>
    <w:p w14:paraId="5575C1C3">
      <w:pPr>
        <w:spacing w:line="520" w:lineRule="exact"/>
        <w:ind w:firstLine="4245" w:firstLineChars="1762"/>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供应商公章：</w:t>
      </w:r>
    </w:p>
    <w:p w14:paraId="4355239C">
      <w:pPr>
        <w:tabs>
          <w:tab w:val="left" w:pos="630"/>
        </w:tabs>
        <w:spacing w:line="520" w:lineRule="exact"/>
        <w:ind w:firstLine="4245" w:firstLineChars="176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日期：</w:t>
      </w:r>
    </w:p>
    <w:p w14:paraId="277CB15D">
      <w:pPr>
        <w:spacing w:line="520" w:lineRule="exact"/>
        <w:ind w:firstLine="482" w:firstLineChars="200"/>
        <w:jc w:val="left"/>
        <w:rPr>
          <w:rFonts w:hint="default" w:ascii="宋体" w:hAnsi="宋体" w:eastAsia="宋体" w:cs="宋体"/>
          <w:b/>
          <w:bCs/>
          <w:color w:val="auto"/>
          <w:sz w:val="24"/>
          <w:szCs w:val="24"/>
          <w:highlight w:val="none"/>
          <w:lang w:val="en-US" w:eastAsia="zh-CN"/>
        </w:rPr>
      </w:pPr>
      <w:bookmarkStart w:id="104" w:name="_Toc23589"/>
      <w:bookmarkStart w:id="105" w:name="_Toc17226"/>
      <w:r>
        <w:rPr>
          <w:rFonts w:hint="eastAsia" w:ascii="宋体" w:hAnsi="宋体" w:cs="宋体"/>
          <w:b/>
          <w:bCs/>
          <w:color w:val="auto"/>
          <w:sz w:val="24"/>
          <w:szCs w:val="24"/>
          <w:highlight w:val="none"/>
          <w:lang w:val="en-US" w:eastAsia="zh-CN"/>
        </w:rPr>
        <w:t>注：后附法人代表人及代理人（被授权人）身份证正反面。</w:t>
      </w:r>
    </w:p>
    <w:p w14:paraId="24DC2064">
      <w:pPr>
        <w:bidi w:val="0"/>
        <w:rPr>
          <w:rFonts w:hint="eastAsia" w:ascii="宋体" w:hAnsi="宋体" w:eastAsia="宋体" w:cs="宋体"/>
          <w:b/>
          <w:bCs/>
          <w:color w:val="auto"/>
          <w:sz w:val="24"/>
          <w:szCs w:val="22"/>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24"/>
          <w:szCs w:val="22"/>
          <w:highlight w:val="none"/>
        </w:rPr>
        <w:t>附件四</w:t>
      </w:r>
      <w:bookmarkEnd w:id="104"/>
      <w:bookmarkEnd w:id="105"/>
    </w:p>
    <w:p w14:paraId="50C2BABE">
      <w:pPr>
        <w:bidi w:val="0"/>
        <w:jc w:val="center"/>
        <w:rPr>
          <w:rFonts w:hint="eastAsia" w:ascii="宋体" w:hAnsi="宋体" w:eastAsia="宋体" w:cs="宋体"/>
          <w:b/>
          <w:bCs/>
          <w:color w:val="auto"/>
          <w:sz w:val="24"/>
          <w:szCs w:val="22"/>
          <w:highlight w:val="none"/>
        </w:rPr>
      </w:pPr>
      <w:bookmarkStart w:id="106" w:name="_Toc6278"/>
      <w:bookmarkStart w:id="107" w:name="_Toc29263"/>
      <w:bookmarkStart w:id="108" w:name="_Toc28665"/>
      <w:bookmarkStart w:id="109" w:name="_Toc417045478"/>
    </w:p>
    <w:p w14:paraId="35859521">
      <w:pPr>
        <w:bidi w:val="0"/>
        <w:jc w:val="center"/>
        <w:rPr>
          <w:rFonts w:hint="eastAsia" w:ascii="宋体" w:hAnsi="宋体" w:eastAsia="宋体" w:cs="宋体"/>
          <w:color w:val="auto"/>
          <w:szCs w:val="24"/>
          <w:highlight w:val="none"/>
        </w:rPr>
      </w:pPr>
      <w:r>
        <w:rPr>
          <w:rFonts w:hint="eastAsia" w:ascii="宋体" w:hAnsi="宋体" w:eastAsia="宋体" w:cs="宋体"/>
          <w:b/>
          <w:bCs/>
          <w:color w:val="auto"/>
          <w:sz w:val="24"/>
          <w:szCs w:val="22"/>
          <w:highlight w:val="none"/>
        </w:rPr>
        <w:t>磋商响应函</w:t>
      </w:r>
      <w:bookmarkEnd w:id="106"/>
      <w:bookmarkEnd w:id="107"/>
      <w:bookmarkEnd w:id="108"/>
    </w:p>
    <w:p w14:paraId="34B7D2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致：XXX（采购单位名称）</w:t>
      </w:r>
    </w:p>
    <w:p w14:paraId="3EC40F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号磋商公告的内容，我方决定参加贵方组织的“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”项目的竞争性磋商采购。我方授权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(姓名)代表我方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（磋商单位的名称）全权处理本项目磋商的有关事宜。</w:t>
      </w:r>
    </w:p>
    <w:p w14:paraId="76E55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2、我方愿意按照磋商文件规定的各项要求，向采购人提供所需的服务。</w:t>
      </w:r>
    </w:p>
    <w:p w14:paraId="64DDC6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3、一旦我方成交，我方将严格履行合同规定的责任和义务，保证于采购人要求的日期内完成项目的全部内容，并交付采购人验收、使用。</w:t>
      </w:r>
    </w:p>
    <w:p w14:paraId="47FA73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4、如我公司成交，我公司承诺愿意按磋商文件规定缴纳履约保证金。</w:t>
      </w:r>
    </w:p>
    <w:p w14:paraId="121829F5">
      <w:pPr>
        <w:tabs>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5、我方愿意提供贵方可能另外要求的、与磋商有关的文件资料，并保证我方已提供和将要提供的文件是真实的、准确的。</w:t>
      </w:r>
    </w:p>
    <w:p w14:paraId="1FA2F9B0">
      <w:pPr>
        <w:tabs>
          <w:tab w:val="left" w:pos="0"/>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6、我方完全理解贵方不一定将合同授予最低报价的供应商。</w:t>
      </w:r>
    </w:p>
    <w:p w14:paraId="335F01BA">
      <w:pPr>
        <w:tabs>
          <w:tab w:val="left" w:pos="0"/>
          <w:tab w:val="left" w:pos="840"/>
        </w:tabs>
        <w:spacing w:line="360" w:lineRule="auto"/>
        <w:jc w:val="left"/>
        <w:rPr>
          <w:rFonts w:hint="eastAsia" w:ascii="宋体" w:hAnsi="宋体" w:eastAsia="宋体" w:cs="宋体"/>
          <w:color w:val="auto"/>
          <w:sz w:val="24"/>
          <w:szCs w:val="24"/>
          <w:highlight w:val="none"/>
        </w:rPr>
      </w:pPr>
    </w:p>
    <w:p w14:paraId="38DEB34B">
      <w:pPr>
        <w:tabs>
          <w:tab w:val="left" w:pos="0"/>
          <w:tab w:val="left" w:pos="840"/>
        </w:tabs>
        <w:rPr>
          <w:rFonts w:hint="eastAsia" w:ascii="宋体" w:hAnsi="宋体" w:eastAsia="宋体" w:cs="宋体"/>
          <w:color w:val="auto"/>
          <w:sz w:val="24"/>
          <w:szCs w:val="24"/>
          <w:highlight w:val="none"/>
        </w:rPr>
      </w:pPr>
    </w:p>
    <w:p w14:paraId="20B41C96">
      <w:pPr>
        <w:tabs>
          <w:tab w:val="left" w:pos="0"/>
          <w:tab w:val="left" w:pos="840"/>
        </w:tabs>
        <w:rPr>
          <w:rFonts w:hint="eastAsia" w:ascii="宋体" w:hAnsi="宋体" w:eastAsia="宋体" w:cs="宋体"/>
          <w:color w:val="auto"/>
          <w:sz w:val="24"/>
          <w:szCs w:val="24"/>
          <w:highlight w:val="none"/>
        </w:rPr>
      </w:pPr>
    </w:p>
    <w:p w14:paraId="6DB357FB">
      <w:pPr>
        <w:tabs>
          <w:tab w:val="left" w:pos="0"/>
          <w:tab w:val="left" w:pos="840"/>
        </w:tabs>
        <w:rPr>
          <w:rFonts w:hint="eastAsia" w:ascii="宋体" w:hAnsi="宋体" w:eastAsia="宋体" w:cs="宋体"/>
          <w:color w:val="auto"/>
          <w:sz w:val="24"/>
          <w:szCs w:val="24"/>
          <w:highlight w:val="none"/>
        </w:rPr>
      </w:pPr>
    </w:p>
    <w:p w14:paraId="0BC52CC1">
      <w:pPr>
        <w:tabs>
          <w:tab w:val="left" w:pos="0"/>
          <w:tab w:val="left" w:pos="840"/>
        </w:tabs>
        <w:rPr>
          <w:rFonts w:hint="eastAsia" w:ascii="宋体" w:hAnsi="宋体" w:eastAsia="宋体" w:cs="宋体"/>
          <w:color w:val="auto"/>
          <w:sz w:val="24"/>
          <w:szCs w:val="24"/>
          <w:highlight w:val="none"/>
        </w:rPr>
      </w:pPr>
    </w:p>
    <w:p w14:paraId="16EFD393">
      <w:pPr>
        <w:spacing w:line="360" w:lineRule="auto"/>
        <w:ind w:firstLine="4245" w:firstLineChars="1762"/>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供应商公章：</w:t>
      </w:r>
    </w:p>
    <w:p w14:paraId="26A400EA">
      <w:pPr>
        <w:tabs>
          <w:tab w:val="left" w:pos="630"/>
        </w:tabs>
        <w:spacing w:line="360" w:lineRule="auto"/>
        <w:ind w:firstLine="4245" w:firstLineChars="176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日期：</w:t>
      </w:r>
    </w:p>
    <w:p w14:paraId="2556F371">
      <w:pPr>
        <w:bidi w:val="0"/>
        <w:rPr>
          <w:rFonts w:hint="eastAsia" w:ascii="宋体" w:hAnsi="宋体" w:eastAsia="宋体" w:cs="宋体"/>
          <w:b/>
          <w:bCs/>
          <w:color w:val="auto"/>
          <w:sz w:val="24"/>
          <w:szCs w:val="22"/>
          <w:highlight w:val="none"/>
        </w:rPr>
      </w:pPr>
      <w:r>
        <w:rPr>
          <w:rFonts w:hint="eastAsia" w:ascii="宋体" w:hAnsi="宋体" w:eastAsia="宋体" w:cs="宋体"/>
          <w:color w:val="auto"/>
          <w:szCs w:val="24"/>
          <w:highlight w:val="none"/>
        </w:rPr>
        <w:br w:type="page"/>
      </w:r>
      <w:bookmarkStart w:id="110" w:name="_Toc21593"/>
      <w:bookmarkStart w:id="111" w:name="_Toc30354"/>
      <w:r>
        <w:rPr>
          <w:rFonts w:hint="eastAsia" w:ascii="宋体" w:hAnsi="宋体" w:eastAsia="宋体" w:cs="宋体"/>
          <w:b/>
          <w:bCs/>
          <w:color w:val="auto"/>
          <w:sz w:val="24"/>
          <w:szCs w:val="22"/>
          <w:highlight w:val="none"/>
        </w:rPr>
        <w:t>附件</w:t>
      </w:r>
      <w:bookmarkEnd w:id="109"/>
      <w:r>
        <w:rPr>
          <w:rFonts w:hint="eastAsia" w:ascii="宋体" w:hAnsi="宋体" w:eastAsia="宋体" w:cs="宋体"/>
          <w:b/>
          <w:bCs/>
          <w:color w:val="auto"/>
          <w:sz w:val="24"/>
          <w:szCs w:val="22"/>
          <w:highlight w:val="none"/>
        </w:rPr>
        <w:t>五</w:t>
      </w:r>
      <w:bookmarkEnd w:id="110"/>
      <w:bookmarkEnd w:id="111"/>
    </w:p>
    <w:p w14:paraId="738FF488">
      <w:pPr>
        <w:bidi w:val="0"/>
        <w:rPr>
          <w:rFonts w:hint="eastAsia" w:ascii="宋体" w:hAnsi="宋体" w:eastAsia="宋体" w:cs="宋体"/>
          <w:b/>
          <w:bCs/>
          <w:color w:val="auto"/>
          <w:sz w:val="24"/>
          <w:szCs w:val="22"/>
          <w:highlight w:val="none"/>
        </w:rPr>
      </w:pPr>
      <w:bookmarkStart w:id="112" w:name="_Toc26949"/>
      <w:bookmarkStart w:id="113" w:name="_Toc26881"/>
      <w:bookmarkStart w:id="114" w:name="_Toc10256"/>
    </w:p>
    <w:p w14:paraId="16825784">
      <w:pPr>
        <w:bidi w:val="0"/>
        <w:jc w:val="center"/>
        <w:rPr>
          <w:rFonts w:hint="eastAsia" w:ascii="宋体" w:hAnsi="宋体" w:eastAsia="宋体" w:cs="宋体"/>
          <w:b/>
          <w:color w:val="auto"/>
          <w:szCs w:val="24"/>
          <w:highlight w:val="none"/>
          <w:lang w:val="zh-CN"/>
        </w:rPr>
      </w:pPr>
      <w:bookmarkStart w:id="115" w:name="_Hlk77793942"/>
      <w:r>
        <w:rPr>
          <w:rFonts w:hint="eastAsia" w:ascii="宋体" w:hAnsi="宋体" w:eastAsia="宋体" w:cs="宋体"/>
          <w:b/>
          <w:bCs/>
          <w:color w:val="auto"/>
          <w:sz w:val="24"/>
          <w:szCs w:val="22"/>
          <w:highlight w:val="none"/>
          <w:lang w:val="zh-CN"/>
        </w:rPr>
        <w:t>无重大违法记录声明函</w:t>
      </w:r>
    </w:p>
    <w:p w14:paraId="7995A2C1">
      <w:pPr>
        <w:pStyle w:val="40"/>
        <w:ind w:firstLine="480" w:firstLineChars="200"/>
        <w:rPr>
          <w:rFonts w:hint="eastAsia" w:ascii="宋体" w:hAnsi="宋体" w:eastAsia="宋体" w:cs="宋体"/>
          <w:color w:val="auto"/>
          <w:szCs w:val="24"/>
          <w:highlight w:val="none"/>
        </w:rPr>
      </w:pPr>
      <w:bookmarkStart w:id="116" w:name="_Hlk77793969"/>
      <w:r>
        <w:rPr>
          <w:rFonts w:hint="eastAsia" w:ascii="宋体" w:hAnsi="宋体" w:eastAsia="宋体" w:cs="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1BF94C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1A5ABAE1">
      <w:pPr>
        <w:spacing w:line="360" w:lineRule="auto"/>
        <w:ind w:firstLine="435"/>
        <w:rPr>
          <w:rFonts w:hint="eastAsia" w:ascii="宋体" w:hAnsi="宋体" w:eastAsia="宋体" w:cs="宋体"/>
          <w:color w:val="auto"/>
          <w:sz w:val="24"/>
          <w:szCs w:val="24"/>
          <w:highlight w:val="none"/>
        </w:rPr>
      </w:pPr>
    </w:p>
    <w:p w14:paraId="7B9BBC3B">
      <w:pPr>
        <w:spacing w:line="360" w:lineRule="auto"/>
        <w:ind w:firstLine="5428" w:firstLineChars="226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供应商公章：</w:t>
      </w:r>
    </w:p>
    <w:p w14:paraId="3E97138D">
      <w:pPr>
        <w:tabs>
          <w:tab w:val="left" w:pos="630"/>
        </w:tabs>
        <w:spacing w:line="360" w:lineRule="auto"/>
        <w:ind w:firstLine="5428" w:firstLineChars="2262"/>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日期：</w:t>
      </w:r>
    </w:p>
    <w:bookmarkEnd w:id="116"/>
    <w:p w14:paraId="7C8E5D49">
      <w:pPr>
        <w:pStyle w:val="40"/>
        <w:ind w:firstLine="210"/>
        <w:rPr>
          <w:rFonts w:hint="eastAsia" w:ascii="宋体" w:hAnsi="宋体" w:eastAsia="宋体" w:cs="宋体"/>
          <w:color w:val="auto"/>
          <w:highlight w:val="none"/>
        </w:rPr>
      </w:pPr>
    </w:p>
    <w:p w14:paraId="30692AE4">
      <w:pPr>
        <w:pStyle w:val="40"/>
        <w:ind w:firstLine="210"/>
        <w:rPr>
          <w:rFonts w:hint="eastAsia" w:ascii="宋体" w:hAnsi="宋体" w:eastAsia="宋体" w:cs="宋体"/>
          <w:color w:val="auto"/>
          <w:highlight w:val="none"/>
        </w:rPr>
      </w:pPr>
    </w:p>
    <w:p w14:paraId="052162F1">
      <w:pPr>
        <w:tabs>
          <w:tab w:val="left" w:pos="630"/>
        </w:tabs>
        <w:spacing w:after="156" w:afterLines="50" w:line="360" w:lineRule="auto"/>
        <w:ind w:firstLine="3188" w:firstLineChars="132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t>无不良信用记录承诺函</w:t>
      </w:r>
    </w:p>
    <w:p w14:paraId="74DEA053">
      <w:pPr>
        <w:spacing w:line="360" w:lineRule="auto"/>
        <w:ind w:firstLine="435"/>
        <w:rPr>
          <w:rFonts w:hint="eastAsia" w:ascii="宋体" w:hAnsi="宋体" w:eastAsia="宋体" w:cs="宋体"/>
          <w:color w:val="auto"/>
          <w:sz w:val="24"/>
          <w:szCs w:val="24"/>
          <w:highlight w:val="none"/>
        </w:rPr>
      </w:pPr>
      <w:bookmarkStart w:id="117" w:name="_Hlk77794010"/>
      <w:r>
        <w:rPr>
          <w:rFonts w:hint="eastAsia" w:ascii="宋体" w:hAnsi="宋体" w:eastAsia="宋体" w:cs="宋体"/>
          <w:color w:val="auto"/>
          <w:sz w:val="24"/>
          <w:szCs w:val="24"/>
          <w:highlight w:val="none"/>
        </w:rPr>
        <w:t>本公司郑重承诺，我公司无以下不良信用记录情形：</w:t>
      </w:r>
    </w:p>
    <w:p w14:paraId="5BF0C4A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1、公司被人民法院列入失信被执行人；</w:t>
      </w:r>
    </w:p>
    <w:p w14:paraId="7966CAA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2、公司被市场监督管理部门列入严重违法失信企业名录；</w:t>
      </w:r>
    </w:p>
    <w:p w14:paraId="1DCE5FD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3、公司被税务部门列入重大税收违法案件当事人名单的；</w:t>
      </w:r>
    </w:p>
    <w:p w14:paraId="2878E7A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4、公司被政府采购监管部门列入政府采购严重违法失信行为记录名单。</w:t>
      </w:r>
    </w:p>
    <w:p w14:paraId="57789BD3">
      <w:pPr>
        <w:spacing w:line="360" w:lineRule="auto"/>
        <w:ind w:firstLine="435"/>
        <w:rPr>
          <w:rFonts w:hint="eastAsia" w:ascii="宋体" w:hAnsi="宋体" w:eastAsia="宋体" w:cs="宋体"/>
          <w:color w:val="auto"/>
          <w:kern w:val="0"/>
          <w:sz w:val="32"/>
          <w:szCs w:val="32"/>
          <w:highlight w:val="none"/>
        </w:rPr>
      </w:pPr>
      <w:r>
        <w:rPr>
          <w:rFonts w:hint="eastAsia" w:ascii="宋体" w:hAnsi="宋体" w:eastAsia="宋体" w:cs="宋体"/>
          <w:color w:val="auto"/>
          <w:sz w:val="24"/>
          <w:szCs w:val="24"/>
          <w:highlight w:val="none"/>
        </w:rPr>
        <w:t xml:space="preserve">我公司承诺：合同签订前，若我公司具有不良信用记录情形，贵方可取消我公司成交资格或者不授予合同，所有责任由我公司自行承担。同时，我公司愿意无条件接受监管部门的调查处理。 </w:t>
      </w:r>
    </w:p>
    <w:p w14:paraId="26F02662">
      <w:pPr>
        <w:tabs>
          <w:tab w:val="left" w:pos="630"/>
        </w:tabs>
        <w:spacing w:line="360" w:lineRule="auto"/>
        <w:ind w:firstLine="630"/>
        <w:rPr>
          <w:rFonts w:hint="eastAsia" w:ascii="宋体" w:hAnsi="宋体" w:eastAsia="宋体" w:cs="宋体"/>
          <w:color w:val="auto"/>
          <w:sz w:val="24"/>
          <w:szCs w:val="24"/>
          <w:highlight w:val="none"/>
        </w:rPr>
      </w:pPr>
    </w:p>
    <w:p w14:paraId="240E3B6C">
      <w:pPr>
        <w:spacing w:line="360" w:lineRule="auto"/>
        <w:ind w:firstLine="5428" w:firstLineChars="226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供应商公章：</w:t>
      </w:r>
    </w:p>
    <w:p w14:paraId="388CE9D8">
      <w:pPr>
        <w:bidi w:val="0"/>
        <w:rPr>
          <w:rFonts w:hint="eastAsia" w:ascii="宋体" w:hAnsi="宋体" w:eastAsia="宋体" w:cs="宋体"/>
          <w:b/>
          <w:bCs/>
          <w:color w:val="auto"/>
          <w:sz w:val="24"/>
          <w:szCs w:val="22"/>
          <w:highlight w:val="none"/>
        </w:rPr>
      </w:pPr>
      <w:r>
        <w:rPr>
          <w:rFonts w:hint="eastAsia" w:ascii="宋体" w:hAnsi="宋体" w:eastAsia="宋体" w:cs="宋体"/>
          <w:bCs/>
          <w:color w:val="auto"/>
          <w:szCs w:val="24"/>
          <w:highlight w:val="none"/>
        </w:rPr>
        <w:t>日期：</w:t>
      </w:r>
      <w:bookmarkEnd w:id="112"/>
      <w:bookmarkEnd w:id="113"/>
      <w:bookmarkEnd w:id="114"/>
      <w:bookmarkEnd w:id="115"/>
      <w:bookmarkEnd w:id="117"/>
      <w:bookmarkStart w:id="118" w:name="_Toc363199274"/>
      <w:r>
        <w:rPr>
          <w:rFonts w:hint="eastAsia" w:ascii="宋体" w:hAnsi="宋体" w:eastAsia="宋体" w:cs="宋体"/>
          <w:color w:val="auto"/>
          <w:szCs w:val="24"/>
          <w:highlight w:val="none"/>
        </w:rPr>
        <w:br w:type="page"/>
      </w:r>
      <w:bookmarkStart w:id="119" w:name="_Toc20743"/>
      <w:bookmarkStart w:id="120" w:name="_Toc18709"/>
      <w:r>
        <w:rPr>
          <w:rFonts w:hint="eastAsia" w:ascii="宋体" w:hAnsi="宋体" w:eastAsia="宋体" w:cs="宋体"/>
          <w:b/>
          <w:bCs/>
          <w:color w:val="auto"/>
          <w:sz w:val="24"/>
          <w:szCs w:val="22"/>
          <w:highlight w:val="none"/>
          <w:lang w:val="en-US" w:eastAsia="zh-CN"/>
        </w:rPr>
        <w:t>附件</w:t>
      </w:r>
      <w:bookmarkEnd w:id="118"/>
      <w:r>
        <w:rPr>
          <w:rFonts w:hint="eastAsia" w:ascii="宋体" w:hAnsi="宋体" w:eastAsia="宋体" w:cs="宋体"/>
          <w:b/>
          <w:bCs/>
          <w:color w:val="auto"/>
          <w:sz w:val="24"/>
          <w:szCs w:val="22"/>
          <w:highlight w:val="none"/>
          <w:lang w:val="en-US" w:eastAsia="zh-CN"/>
        </w:rPr>
        <w:t>六</w:t>
      </w:r>
      <w:bookmarkEnd w:id="119"/>
      <w:bookmarkEnd w:id="120"/>
    </w:p>
    <w:p w14:paraId="5D31EFDF">
      <w:pPr>
        <w:bidi w:val="0"/>
        <w:jc w:val="center"/>
        <w:rPr>
          <w:rFonts w:hint="eastAsia" w:ascii="宋体" w:hAnsi="宋体" w:eastAsia="宋体" w:cs="宋体"/>
          <w:color w:val="auto"/>
          <w:szCs w:val="24"/>
          <w:highlight w:val="none"/>
          <w:lang w:val="zh-CN"/>
        </w:rPr>
      </w:pPr>
      <w:bookmarkStart w:id="121" w:name="_Toc18402"/>
      <w:bookmarkStart w:id="122" w:name="_Toc30075"/>
      <w:bookmarkStart w:id="123" w:name="_Toc25238"/>
      <w:r>
        <w:rPr>
          <w:rFonts w:hint="eastAsia" w:ascii="宋体" w:hAnsi="宋体" w:eastAsia="宋体" w:cs="宋体"/>
          <w:b/>
          <w:bCs/>
          <w:color w:val="auto"/>
          <w:sz w:val="24"/>
          <w:szCs w:val="22"/>
          <w:highlight w:val="none"/>
          <w:lang w:val="zh-CN"/>
        </w:rPr>
        <w:t>响应情况表</w:t>
      </w:r>
      <w:bookmarkEnd w:id="121"/>
      <w:bookmarkEnd w:id="122"/>
      <w:bookmarkEnd w:id="123"/>
    </w:p>
    <w:p w14:paraId="730916D7">
      <w:pPr>
        <w:jc w:val="center"/>
        <w:rPr>
          <w:rFonts w:hint="eastAsia" w:ascii="宋体" w:hAnsi="宋体" w:eastAsia="宋体" w:cs="宋体"/>
          <w:bCs/>
          <w:color w:val="auto"/>
          <w:sz w:val="24"/>
          <w:szCs w:val="24"/>
          <w:highlight w:val="none"/>
          <w:lang w:val="zh-CN"/>
        </w:rPr>
      </w:pPr>
    </w:p>
    <w:tbl>
      <w:tblPr>
        <w:tblStyle w:val="4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3B6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505BEA37">
            <w:pPr>
              <w:jc w:val="center"/>
              <w:rPr>
                <w:rFonts w:hint="eastAsia" w:ascii="宋体" w:hAnsi="宋体" w:eastAsia="宋体" w:cs="宋体"/>
                <w:b/>
                <w:color w:val="auto"/>
                <w:sz w:val="24"/>
                <w:szCs w:val="21"/>
                <w:highlight w:val="none"/>
              </w:rPr>
            </w:pPr>
            <w:bookmarkStart w:id="124" w:name="_Toc471299110"/>
            <w:r>
              <w:rPr>
                <w:rFonts w:hint="eastAsia" w:ascii="宋体" w:hAnsi="宋体" w:eastAsia="宋体" w:cs="宋体"/>
                <w:b/>
                <w:color w:val="auto"/>
                <w:sz w:val="24"/>
                <w:szCs w:val="21"/>
                <w:highlight w:val="none"/>
              </w:rPr>
              <w:t>按磋商文件规定填写</w:t>
            </w:r>
          </w:p>
        </w:tc>
        <w:tc>
          <w:tcPr>
            <w:tcW w:w="4200" w:type="dxa"/>
            <w:gridSpan w:val="2"/>
            <w:noWrap w:val="0"/>
            <w:vAlign w:val="center"/>
          </w:tcPr>
          <w:p w14:paraId="1B955E78">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按供应商所投内容填写</w:t>
            </w:r>
          </w:p>
        </w:tc>
      </w:tr>
      <w:tr w14:paraId="0FD0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5523BDFE">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序号</w:t>
            </w:r>
          </w:p>
        </w:tc>
        <w:tc>
          <w:tcPr>
            <w:tcW w:w="1794" w:type="dxa"/>
            <w:noWrap w:val="0"/>
            <w:vAlign w:val="center"/>
          </w:tcPr>
          <w:p w14:paraId="04C81F9E">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内容</w:t>
            </w:r>
          </w:p>
        </w:tc>
        <w:tc>
          <w:tcPr>
            <w:tcW w:w="2196" w:type="dxa"/>
            <w:noWrap w:val="0"/>
            <w:vAlign w:val="center"/>
          </w:tcPr>
          <w:p w14:paraId="04A4E39E">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磋商文件要求</w:t>
            </w:r>
          </w:p>
        </w:tc>
        <w:tc>
          <w:tcPr>
            <w:tcW w:w="2222" w:type="dxa"/>
            <w:noWrap w:val="0"/>
            <w:vAlign w:val="center"/>
          </w:tcPr>
          <w:p w14:paraId="6AAA298E">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响应承诺</w:t>
            </w:r>
          </w:p>
        </w:tc>
        <w:tc>
          <w:tcPr>
            <w:tcW w:w="1978" w:type="dxa"/>
            <w:noWrap w:val="0"/>
            <w:vAlign w:val="center"/>
          </w:tcPr>
          <w:p w14:paraId="14D4BEC0">
            <w:pPr>
              <w:jc w:val="center"/>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偏离说明</w:t>
            </w:r>
          </w:p>
        </w:tc>
      </w:tr>
      <w:tr w14:paraId="5374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622174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4" w:type="dxa"/>
            <w:noWrap w:val="0"/>
            <w:vAlign w:val="center"/>
          </w:tcPr>
          <w:p w14:paraId="0FA9369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技术响应</w:t>
            </w:r>
          </w:p>
        </w:tc>
        <w:tc>
          <w:tcPr>
            <w:tcW w:w="2196" w:type="dxa"/>
            <w:noWrap w:val="0"/>
            <w:vAlign w:val="center"/>
          </w:tcPr>
          <w:p w14:paraId="495DAF16">
            <w:pPr>
              <w:rPr>
                <w:rFonts w:hint="eastAsia" w:ascii="宋体" w:hAnsi="宋体" w:eastAsia="宋体" w:cs="宋体"/>
                <w:color w:val="auto"/>
                <w:sz w:val="24"/>
                <w:szCs w:val="24"/>
                <w:highlight w:val="none"/>
              </w:rPr>
            </w:pPr>
          </w:p>
        </w:tc>
        <w:tc>
          <w:tcPr>
            <w:tcW w:w="2222" w:type="dxa"/>
            <w:noWrap w:val="0"/>
            <w:vAlign w:val="center"/>
          </w:tcPr>
          <w:p w14:paraId="50FCF5EE">
            <w:pPr>
              <w:rPr>
                <w:rFonts w:hint="eastAsia" w:ascii="宋体" w:hAnsi="宋体" w:eastAsia="宋体" w:cs="宋体"/>
                <w:color w:val="auto"/>
                <w:sz w:val="24"/>
                <w:szCs w:val="24"/>
                <w:highlight w:val="none"/>
              </w:rPr>
            </w:pPr>
          </w:p>
        </w:tc>
        <w:tc>
          <w:tcPr>
            <w:tcW w:w="1978" w:type="dxa"/>
            <w:noWrap w:val="0"/>
            <w:vAlign w:val="center"/>
          </w:tcPr>
          <w:p w14:paraId="36C77DE1">
            <w:pPr>
              <w:rPr>
                <w:rFonts w:hint="eastAsia" w:ascii="宋体" w:hAnsi="宋体" w:eastAsia="宋体" w:cs="宋体"/>
                <w:color w:val="auto"/>
                <w:sz w:val="24"/>
                <w:szCs w:val="24"/>
                <w:highlight w:val="none"/>
              </w:rPr>
            </w:pPr>
          </w:p>
        </w:tc>
      </w:tr>
      <w:tr w14:paraId="0F73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73C0A8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94" w:type="dxa"/>
            <w:noWrap w:val="0"/>
            <w:vAlign w:val="center"/>
          </w:tcPr>
          <w:p w14:paraId="5E19B7E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付款响应</w:t>
            </w:r>
          </w:p>
        </w:tc>
        <w:tc>
          <w:tcPr>
            <w:tcW w:w="2196" w:type="dxa"/>
            <w:noWrap w:val="0"/>
            <w:vAlign w:val="center"/>
          </w:tcPr>
          <w:p w14:paraId="02F41E36">
            <w:pPr>
              <w:rPr>
                <w:rFonts w:hint="eastAsia" w:ascii="宋体" w:hAnsi="宋体" w:eastAsia="宋体" w:cs="宋体"/>
                <w:color w:val="auto"/>
                <w:sz w:val="24"/>
                <w:szCs w:val="24"/>
                <w:highlight w:val="none"/>
              </w:rPr>
            </w:pPr>
          </w:p>
        </w:tc>
        <w:tc>
          <w:tcPr>
            <w:tcW w:w="2222" w:type="dxa"/>
            <w:noWrap w:val="0"/>
            <w:vAlign w:val="center"/>
          </w:tcPr>
          <w:p w14:paraId="2BA0E966">
            <w:pPr>
              <w:rPr>
                <w:rFonts w:hint="eastAsia" w:ascii="宋体" w:hAnsi="宋体" w:eastAsia="宋体" w:cs="宋体"/>
                <w:color w:val="auto"/>
                <w:sz w:val="24"/>
                <w:szCs w:val="24"/>
                <w:highlight w:val="none"/>
              </w:rPr>
            </w:pPr>
          </w:p>
        </w:tc>
        <w:tc>
          <w:tcPr>
            <w:tcW w:w="1978" w:type="dxa"/>
            <w:noWrap w:val="0"/>
            <w:vAlign w:val="center"/>
          </w:tcPr>
          <w:p w14:paraId="04F13F30">
            <w:pPr>
              <w:rPr>
                <w:rFonts w:hint="eastAsia" w:ascii="宋体" w:hAnsi="宋体" w:eastAsia="宋体" w:cs="宋体"/>
                <w:color w:val="auto"/>
                <w:sz w:val="24"/>
                <w:szCs w:val="24"/>
                <w:highlight w:val="none"/>
              </w:rPr>
            </w:pPr>
          </w:p>
        </w:tc>
      </w:tr>
      <w:tr w14:paraId="7D5A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0DD1A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94" w:type="dxa"/>
            <w:noWrap w:val="0"/>
            <w:vAlign w:val="center"/>
          </w:tcPr>
          <w:p w14:paraId="3F40829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服务期响应</w:t>
            </w:r>
          </w:p>
        </w:tc>
        <w:tc>
          <w:tcPr>
            <w:tcW w:w="2196" w:type="dxa"/>
            <w:noWrap w:val="0"/>
            <w:vAlign w:val="center"/>
          </w:tcPr>
          <w:p w14:paraId="2DBDE82F">
            <w:pPr>
              <w:rPr>
                <w:rFonts w:hint="eastAsia" w:ascii="宋体" w:hAnsi="宋体" w:eastAsia="宋体" w:cs="宋体"/>
                <w:color w:val="auto"/>
                <w:sz w:val="24"/>
                <w:szCs w:val="24"/>
                <w:highlight w:val="none"/>
              </w:rPr>
            </w:pPr>
          </w:p>
        </w:tc>
        <w:tc>
          <w:tcPr>
            <w:tcW w:w="2222" w:type="dxa"/>
            <w:noWrap w:val="0"/>
            <w:vAlign w:val="center"/>
          </w:tcPr>
          <w:p w14:paraId="56B99BD8">
            <w:pPr>
              <w:rPr>
                <w:rFonts w:hint="eastAsia" w:ascii="宋体" w:hAnsi="宋体" w:eastAsia="宋体" w:cs="宋体"/>
                <w:color w:val="auto"/>
                <w:sz w:val="24"/>
                <w:szCs w:val="24"/>
                <w:highlight w:val="none"/>
              </w:rPr>
            </w:pPr>
          </w:p>
        </w:tc>
        <w:tc>
          <w:tcPr>
            <w:tcW w:w="1978" w:type="dxa"/>
            <w:noWrap w:val="0"/>
            <w:vAlign w:val="center"/>
          </w:tcPr>
          <w:p w14:paraId="0715B100">
            <w:pPr>
              <w:rPr>
                <w:rFonts w:hint="eastAsia" w:ascii="宋体" w:hAnsi="宋体" w:eastAsia="宋体" w:cs="宋体"/>
                <w:color w:val="auto"/>
                <w:sz w:val="24"/>
                <w:szCs w:val="24"/>
                <w:highlight w:val="none"/>
              </w:rPr>
            </w:pPr>
          </w:p>
        </w:tc>
      </w:tr>
      <w:tr w14:paraId="4F2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7E5D693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94" w:type="dxa"/>
            <w:noWrap w:val="0"/>
            <w:vAlign w:val="center"/>
          </w:tcPr>
          <w:p w14:paraId="182455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196" w:type="dxa"/>
            <w:noWrap w:val="0"/>
            <w:vAlign w:val="center"/>
          </w:tcPr>
          <w:p w14:paraId="311E7C4D">
            <w:pPr>
              <w:rPr>
                <w:rFonts w:hint="eastAsia" w:ascii="宋体" w:hAnsi="宋体" w:eastAsia="宋体" w:cs="宋体"/>
                <w:color w:val="auto"/>
                <w:sz w:val="24"/>
                <w:szCs w:val="24"/>
                <w:highlight w:val="none"/>
              </w:rPr>
            </w:pPr>
          </w:p>
        </w:tc>
        <w:tc>
          <w:tcPr>
            <w:tcW w:w="2222" w:type="dxa"/>
            <w:noWrap w:val="0"/>
            <w:vAlign w:val="center"/>
          </w:tcPr>
          <w:p w14:paraId="33B81A66">
            <w:pPr>
              <w:rPr>
                <w:rFonts w:hint="eastAsia" w:ascii="宋体" w:hAnsi="宋体" w:eastAsia="宋体" w:cs="宋体"/>
                <w:color w:val="auto"/>
                <w:sz w:val="24"/>
                <w:szCs w:val="24"/>
                <w:highlight w:val="none"/>
              </w:rPr>
            </w:pPr>
          </w:p>
        </w:tc>
        <w:tc>
          <w:tcPr>
            <w:tcW w:w="1978" w:type="dxa"/>
            <w:noWrap w:val="0"/>
            <w:vAlign w:val="center"/>
          </w:tcPr>
          <w:p w14:paraId="40621135">
            <w:pPr>
              <w:rPr>
                <w:rFonts w:hint="eastAsia" w:ascii="宋体" w:hAnsi="宋体" w:eastAsia="宋体" w:cs="宋体"/>
                <w:color w:val="auto"/>
                <w:sz w:val="24"/>
                <w:szCs w:val="24"/>
                <w:highlight w:val="none"/>
              </w:rPr>
            </w:pPr>
          </w:p>
        </w:tc>
      </w:tr>
    </w:tbl>
    <w:p w14:paraId="7068FE3B">
      <w:pPr>
        <w:snapToGrid w:val="0"/>
        <w:spacing w:line="360" w:lineRule="auto"/>
        <w:rPr>
          <w:rFonts w:hint="eastAsia" w:ascii="宋体" w:hAnsi="宋体" w:eastAsia="宋体" w:cs="宋体"/>
          <w:color w:val="auto"/>
          <w:sz w:val="24"/>
          <w:szCs w:val="24"/>
          <w:highlight w:val="none"/>
        </w:rPr>
      </w:pPr>
    </w:p>
    <w:p w14:paraId="3BC35BD5">
      <w:pPr>
        <w:snapToGrid w:val="0"/>
        <w:spacing w:line="460" w:lineRule="exact"/>
        <w:rPr>
          <w:rFonts w:hint="eastAsia" w:ascii="宋体" w:hAnsi="宋体" w:eastAsia="宋体" w:cs="宋体"/>
          <w:b/>
          <w:bCs/>
          <w:color w:val="auto"/>
          <w:sz w:val="24"/>
          <w:szCs w:val="24"/>
          <w:highlight w:val="none"/>
        </w:rPr>
      </w:pPr>
    </w:p>
    <w:p w14:paraId="7A41E581">
      <w:pPr>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供应商公章：</w:t>
      </w:r>
    </w:p>
    <w:p w14:paraId="1A25ADD4">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日期：   年   月   日</w:t>
      </w:r>
    </w:p>
    <w:p w14:paraId="410C52A5">
      <w:pPr>
        <w:spacing w:line="460" w:lineRule="exact"/>
        <w:rPr>
          <w:rFonts w:hint="eastAsia" w:ascii="宋体" w:hAnsi="宋体" w:eastAsia="宋体" w:cs="宋体"/>
          <w:color w:val="auto"/>
          <w:sz w:val="24"/>
          <w:szCs w:val="24"/>
          <w:highlight w:val="none"/>
        </w:rPr>
      </w:pPr>
    </w:p>
    <w:p w14:paraId="78B9CCEB">
      <w:pPr>
        <w:spacing w:line="500" w:lineRule="exact"/>
        <w:rPr>
          <w:rFonts w:hint="eastAsia" w:ascii="宋体" w:hAnsi="宋体" w:eastAsia="宋体" w:cs="宋体"/>
          <w:color w:val="auto"/>
          <w:sz w:val="24"/>
          <w:szCs w:val="28"/>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8"/>
          <w:highlight w:val="none"/>
        </w:rPr>
        <w:t>提供的服务满足采购需求；付款及服务期等均应响应磋商文件要求。</w:t>
      </w:r>
    </w:p>
    <w:p w14:paraId="48B0F4A8">
      <w:pPr>
        <w:spacing w:line="500" w:lineRule="exact"/>
        <w:rPr>
          <w:rFonts w:hint="eastAsia" w:ascii="宋体" w:hAnsi="宋体" w:eastAsia="宋体" w:cs="宋体"/>
          <w:color w:val="auto"/>
          <w:sz w:val="24"/>
          <w:szCs w:val="28"/>
          <w:highlight w:val="none"/>
        </w:rPr>
      </w:pPr>
    </w:p>
    <w:p w14:paraId="2A14A793">
      <w:pPr>
        <w:spacing w:line="500" w:lineRule="exact"/>
        <w:rPr>
          <w:rFonts w:hint="eastAsia" w:ascii="宋体" w:hAnsi="宋体" w:eastAsia="宋体" w:cs="宋体"/>
          <w:color w:val="auto"/>
          <w:sz w:val="24"/>
          <w:szCs w:val="28"/>
          <w:highlight w:val="none"/>
        </w:rPr>
      </w:pPr>
    </w:p>
    <w:p w14:paraId="31CB146F">
      <w:pPr>
        <w:spacing w:line="500" w:lineRule="exact"/>
        <w:rPr>
          <w:rFonts w:hint="eastAsia" w:ascii="宋体" w:hAnsi="宋体" w:eastAsia="宋体" w:cs="宋体"/>
          <w:color w:val="auto"/>
          <w:sz w:val="24"/>
          <w:szCs w:val="28"/>
          <w:highlight w:val="none"/>
        </w:rPr>
      </w:pPr>
    </w:p>
    <w:p w14:paraId="6FB44B62">
      <w:pPr>
        <w:spacing w:line="500" w:lineRule="exact"/>
        <w:rPr>
          <w:rFonts w:hint="eastAsia" w:ascii="宋体" w:hAnsi="宋体" w:eastAsia="宋体" w:cs="宋体"/>
          <w:color w:val="auto"/>
          <w:sz w:val="24"/>
          <w:szCs w:val="28"/>
          <w:highlight w:val="none"/>
        </w:rPr>
      </w:pPr>
    </w:p>
    <w:bookmarkEnd w:id="124"/>
    <w:p w14:paraId="5CE93278">
      <w:pPr>
        <w:spacing w:line="500" w:lineRule="exact"/>
        <w:rPr>
          <w:rFonts w:hint="eastAsia" w:ascii="宋体" w:hAnsi="宋体" w:eastAsia="宋体" w:cs="宋体"/>
          <w:color w:val="auto"/>
          <w:sz w:val="24"/>
          <w:szCs w:val="24"/>
          <w:highlight w:val="none"/>
        </w:rPr>
      </w:pPr>
      <w:bookmarkStart w:id="125" w:name="_Toc29422"/>
      <w:bookmarkStart w:id="126" w:name="_Toc22037"/>
      <w:bookmarkStart w:id="127" w:name="_Toc18187"/>
      <w:r>
        <w:rPr>
          <w:rStyle w:val="53"/>
          <w:rFonts w:hint="eastAsia" w:ascii="宋体" w:hAnsi="宋体" w:eastAsia="宋体" w:cs="宋体"/>
          <w:color w:val="auto"/>
          <w:sz w:val="24"/>
          <w:szCs w:val="24"/>
          <w:highlight w:val="none"/>
        </w:rPr>
        <w:t>附件七</w:t>
      </w:r>
      <w:bookmarkEnd w:id="125"/>
      <w:bookmarkEnd w:id="126"/>
      <w:bookmarkEnd w:id="127"/>
    </w:p>
    <w:p w14:paraId="47B24CD8">
      <w:pPr>
        <w:pStyle w:val="3"/>
        <w:spacing w:before="0" w:after="0" w:line="560" w:lineRule="exact"/>
        <w:jc w:val="center"/>
        <w:rPr>
          <w:rFonts w:hint="eastAsia" w:ascii="宋体" w:hAnsi="宋体" w:eastAsia="宋体" w:cs="宋体"/>
          <w:color w:val="auto"/>
          <w:sz w:val="24"/>
          <w:szCs w:val="24"/>
          <w:highlight w:val="none"/>
        </w:rPr>
      </w:pPr>
      <w:bookmarkStart w:id="128" w:name="_Toc31842"/>
      <w:bookmarkStart w:id="129" w:name="_Toc18625"/>
      <w:bookmarkStart w:id="130" w:name="_Toc30527"/>
      <w:bookmarkStart w:id="131" w:name="_Toc1624"/>
      <w:r>
        <w:rPr>
          <w:rFonts w:hint="eastAsia" w:ascii="宋体" w:hAnsi="宋体" w:eastAsia="宋体" w:cs="宋体"/>
          <w:color w:val="auto"/>
          <w:sz w:val="24"/>
          <w:szCs w:val="24"/>
          <w:highlight w:val="none"/>
        </w:rPr>
        <w:t>技术标部分评审内容（按评分办法顺序编入响应文件并标注页码）</w:t>
      </w:r>
      <w:bookmarkEnd w:id="128"/>
    </w:p>
    <w:p w14:paraId="05F6C126">
      <w:pPr>
        <w:rPr>
          <w:rStyle w:val="53"/>
          <w:rFonts w:hint="eastAsia" w:ascii="宋体" w:hAnsi="宋体" w:eastAsia="宋体" w:cs="宋体"/>
          <w:color w:val="auto"/>
          <w:sz w:val="24"/>
          <w:szCs w:val="24"/>
          <w:highlight w:val="none"/>
        </w:rPr>
      </w:pPr>
      <w:r>
        <w:rPr>
          <w:rStyle w:val="53"/>
          <w:rFonts w:hint="eastAsia" w:ascii="宋体" w:hAnsi="宋体" w:eastAsia="宋体" w:cs="宋体"/>
          <w:color w:val="auto"/>
          <w:sz w:val="24"/>
          <w:szCs w:val="24"/>
          <w:highlight w:val="none"/>
        </w:rPr>
        <w:br w:type="page"/>
      </w:r>
    </w:p>
    <w:p w14:paraId="6B3C6FB1">
      <w:pPr>
        <w:pStyle w:val="40"/>
        <w:spacing w:after="0" w:line="500" w:lineRule="exact"/>
        <w:ind w:firstLine="482" w:firstLineChars="200"/>
        <w:rPr>
          <w:rFonts w:hint="eastAsia" w:ascii="宋体" w:hAnsi="宋体" w:eastAsia="宋体" w:cs="宋体"/>
          <w:b/>
          <w:bCs/>
          <w:color w:val="auto"/>
          <w:szCs w:val="24"/>
          <w:highlight w:val="none"/>
        </w:rPr>
      </w:pPr>
      <w:bookmarkStart w:id="132" w:name="_Toc16967"/>
      <w:r>
        <w:rPr>
          <w:rStyle w:val="53"/>
          <w:rFonts w:hint="eastAsia" w:ascii="宋体" w:hAnsi="宋体" w:eastAsia="宋体" w:cs="宋体"/>
          <w:color w:val="auto"/>
          <w:sz w:val="24"/>
          <w:szCs w:val="24"/>
          <w:highlight w:val="none"/>
        </w:rPr>
        <w:t>附件八</w:t>
      </w:r>
      <w:bookmarkEnd w:id="129"/>
      <w:bookmarkEnd w:id="130"/>
      <w:bookmarkEnd w:id="131"/>
      <w:bookmarkEnd w:id="132"/>
    </w:p>
    <w:p w14:paraId="13C247E7">
      <w:pPr>
        <w:spacing w:line="360" w:lineRule="auto"/>
        <w:rPr>
          <w:rFonts w:hint="eastAsia" w:ascii="宋体" w:hAnsi="宋体" w:eastAsia="宋体" w:cs="宋体"/>
          <w:bCs/>
          <w:color w:val="auto"/>
          <w:sz w:val="24"/>
          <w:szCs w:val="24"/>
          <w:highlight w:val="none"/>
        </w:rPr>
      </w:pPr>
      <w:bookmarkStart w:id="133" w:name="_Toc28850"/>
    </w:p>
    <w:p w14:paraId="0A21F76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磋商文件要求和供应商认为需要提供的其它说明和资料</w:t>
      </w:r>
      <w:bookmarkEnd w:id="133"/>
    </w:p>
    <w:p w14:paraId="48B6F5DB">
      <w:pPr>
        <w:pStyle w:val="40"/>
        <w:ind w:left="0" w:leftChars="0" w:firstLine="0" w:firstLineChars="0"/>
        <w:rPr>
          <w:rFonts w:hint="eastAsia" w:ascii="宋体" w:hAnsi="宋体" w:eastAsia="宋体" w:cs="宋体"/>
          <w:color w:val="auto"/>
          <w:highlight w:val="none"/>
        </w:rPr>
      </w:pPr>
    </w:p>
    <w:p w14:paraId="0DB01B33">
      <w:pPr>
        <w:outlineLvl w:val="0"/>
        <w:rPr>
          <w:rStyle w:val="53"/>
          <w:rFonts w:hint="eastAsia" w:ascii="宋体" w:hAnsi="宋体" w:eastAsia="宋体" w:cs="宋体"/>
          <w:color w:val="auto"/>
          <w:sz w:val="24"/>
          <w:szCs w:val="24"/>
          <w:highlight w:val="none"/>
        </w:rPr>
      </w:pPr>
    </w:p>
    <w:p w14:paraId="673B3FEE">
      <w:pPr>
        <w:outlineLvl w:val="0"/>
        <w:rPr>
          <w:rStyle w:val="53"/>
          <w:rFonts w:hint="eastAsia" w:ascii="宋体" w:hAnsi="宋体" w:eastAsia="宋体" w:cs="宋体"/>
          <w:color w:val="auto"/>
          <w:sz w:val="24"/>
          <w:szCs w:val="24"/>
          <w:highlight w:val="none"/>
          <w:lang w:val="en-US" w:eastAsia="zh-CN"/>
        </w:rPr>
      </w:pPr>
      <w:bookmarkStart w:id="134" w:name="_Toc13640"/>
      <w:r>
        <w:rPr>
          <w:rStyle w:val="53"/>
          <w:rFonts w:hint="eastAsia" w:ascii="宋体" w:hAnsi="宋体" w:eastAsia="宋体" w:cs="宋体"/>
          <w:color w:val="auto"/>
          <w:sz w:val="24"/>
          <w:szCs w:val="24"/>
          <w:highlight w:val="none"/>
        </w:rPr>
        <w:t>附件</w:t>
      </w:r>
      <w:r>
        <w:rPr>
          <w:rStyle w:val="53"/>
          <w:rFonts w:hint="eastAsia" w:ascii="宋体" w:hAnsi="宋体" w:eastAsia="宋体" w:cs="宋体"/>
          <w:color w:val="auto"/>
          <w:sz w:val="24"/>
          <w:szCs w:val="24"/>
          <w:highlight w:val="none"/>
          <w:lang w:val="en-US" w:eastAsia="zh-CN"/>
        </w:rPr>
        <w:t>九</w:t>
      </w:r>
    </w:p>
    <w:bookmarkEnd w:id="134"/>
    <w:p w14:paraId="0223EED1">
      <w:pPr>
        <w:jc w:val="center"/>
        <w:rPr>
          <w:rFonts w:hint="eastAsia" w:ascii="仿宋" w:hAnsi="仿宋" w:eastAsia="仿宋" w:cs="Times New Roman"/>
          <w:b/>
          <w:bCs/>
          <w:color w:val="auto"/>
          <w:sz w:val="40"/>
          <w:szCs w:val="40"/>
          <w:highlight w:val="none"/>
          <w:lang w:val="en-US" w:eastAsia="zh-CN"/>
        </w:rPr>
      </w:pPr>
    </w:p>
    <w:p w14:paraId="497E4599">
      <w:pPr>
        <w:jc w:val="center"/>
        <w:rPr>
          <w:rFonts w:hint="eastAsia" w:ascii="宋体" w:hAnsi="宋体" w:eastAsia="宋体" w:cs="Times New Roman"/>
          <w:color w:val="auto"/>
          <w:sz w:val="44"/>
          <w:szCs w:val="44"/>
          <w:highlight w:val="none"/>
        </w:rPr>
      </w:pPr>
      <w:r>
        <w:rPr>
          <w:rFonts w:hint="eastAsia" w:ascii="仿宋" w:hAnsi="仿宋" w:eastAsia="仿宋" w:cs="Times New Roman"/>
          <w:b/>
          <w:bCs/>
          <w:color w:val="auto"/>
          <w:sz w:val="44"/>
          <w:szCs w:val="44"/>
          <w:highlight w:val="none"/>
          <w:lang w:val="en-US" w:eastAsia="zh-CN"/>
        </w:rPr>
        <w:t>最终报价/</w:t>
      </w:r>
      <w:r>
        <w:rPr>
          <w:rFonts w:hint="eastAsia" w:ascii="仿宋" w:hAnsi="仿宋" w:eastAsia="仿宋" w:cs="Times New Roman"/>
          <w:b/>
          <w:bCs/>
          <w:color w:val="auto"/>
          <w:sz w:val="44"/>
          <w:szCs w:val="44"/>
          <w:highlight w:val="none"/>
          <w:u w:val="single"/>
          <w:lang w:val="en-US" w:eastAsia="zh-CN"/>
        </w:rPr>
        <w:t xml:space="preserve">      </w:t>
      </w:r>
      <w:r>
        <w:rPr>
          <w:rFonts w:hint="eastAsia" w:ascii="仿宋" w:hAnsi="仿宋" w:eastAsia="仿宋" w:cs="Times New Roman"/>
          <w:b/>
          <w:bCs/>
          <w:color w:val="auto"/>
          <w:sz w:val="44"/>
          <w:szCs w:val="44"/>
          <w:highlight w:val="none"/>
        </w:rPr>
        <w:t>轮报价表</w:t>
      </w:r>
    </w:p>
    <w:p w14:paraId="6C1EBF18">
      <w:pPr>
        <w:spacing w:line="640" w:lineRule="exact"/>
        <w:rPr>
          <w:rFonts w:hint="eastAsia" w:ascii="宋体" w:hAnsi="宋体" w:eastAsia="宋体" w:cs="Times New Roman"/>
          <w:color w:val="auto"/>
          <w:sz w:val="28"/>
          <w:szCs w:val="28"/>
          <w:highlight w:val="none"/>
        </w:rPr>
      </w:pPr>
    </w:p>
    <w:p w14:paraId="4EF73562">
      <w:pPr>
        <w:spacing w:line="640" w:lineRule="exac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致：</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采购人)</w:t>
      </w:r>
    </w:p>
    <w:p w14:paraId="6DE78CC3">
      <w:pPr>
        <w:spacing w:line="64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1、我方愿在第一次磋商（响应性文件）报价的基础上再次让利，让利后总报价为</w:t>
      </w:r>
      <w:r>
        <w:rPr>
          <w:rFonts w:hint="eastAsia" w:ascii="宋体" w:hAnsi="宋体" w:eastAsia="宋体" w:cs="Times New Roman"/>
          <w:color w:val="auto"/>
          <w:sz w:val="28"/>
          <w:szCs w:val="28"/>
          <w:highlight w:val="none"/>
          <w:u w:val="single"/>
        </w:rPr>
        <w:t xml:space="preserve">           元（单价随总价同比例下浮）</w:t>
      </w:r>
      <w:r>
        <w:rPr>
          <w:rFonts w:hint="eastAsia" w:ascii="宋体" w:hAnsi="宋体" w:eastAsia="宋体" w:cs="Times New Roman"/>
          <w:color w:val="auto"/>
          <w:sz w:val="28"/>
          <w:szCs w:val="28"/>
          <w:highlight w:val="none"/>
        </w:rPr>
        <w:t>。如果我方有幸成为成交单位，服务费用为所委托服务项目范围内全部服务工作，该费用不再调整。</w:t>
      </w:r>
    </w:p>
    <w:p w14:paraId="329167C1">
      <w:pPr>
        <w:spacing w:line="64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2、其他部分与响应性文件内容一致。</w:t>
      </w:r>
    </w:p>
    <w:p w14:paraId="16D8A02E">
      <w:pPr>
        <w:rPr>
          <w:rFonts w:hint="eastAsia" w:ascii="宋体" w:hAnsi="宋体" w:eastAsia="宋体" w:cs="Times New Roman"/>
          <w:color w:val="auto"/>
          <w:sz w:val="28"/>
          <w:szCs w:val="28"/>
          <w:highlight w:val="none"/>
        </w:rPr>
      </w:pPr>
    </w:p>
    <w:p w14:paraId="1281097C">
      <w:pPr>
        <w:ind w:left="1628" w:leftChars="775"/>
        <w:jc w:val="right"/>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供应商： </w:t>
      </w:r>
      <w:r>
        <w:rPr>
          <w:rFonts w:hint="eastAsia" w:ascii="宋体" w:hAnsi="宋体" w:eastAsia="宋体" w:cs="Times New Roman"/>
          <w:color w:val="auto"/>
          <w:sz w:val="28"/>
          <w:szCs w:val="28"/>
          <w:highlight w:val="none"/>
          <w:u w:val="single"/>
        </w:rPr>
        <w:t xml:space="preserve">                        （盖章）</w:t>
      </w:r>
    </w:p>
    <w:p w14:paraId="54D9ED83">
      <w:pPr>
        <w:ind w:left="1628" w:leftChars="775"/>
        <w:jc w:val="right"/>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法定代表人：</w:t>
      </w:r>
      <w:r>
        <w:rPr>
          <w:rFonts w:hint="eastAsia" w:ascii="宋体" w:hAnsi="宋体" w:eastAsia="宋体" w:cs="Times New Roman"/>
          <w:color w:val="auto"/>
          <w:sz w:val="28"/>
          <w:szCs w:val="28"/>
          <w:highlight w:val="none"/>
          <w:u w:val="single"/>
        </w:rPr>
        <w:t xml:space="preserve">   </w:t>
      </w:r>
      <w:r>
        <w:rPr>
          <w:rFonts w:hint="eastAsia" w:ascii="宋体" w:hAnsi="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（签字或盖章）</w:t>
      </w:r>
    </w:p>
    <w:p w14:paraId="3A9D60FF">
      <w:pPr>
        <w:ind w:firstLine="3360" w:firstLineChars="1200"/>
        <w:jc w:val="both"/>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日   期：</w:t>
      </w:r>
      <w:r>
        <w:rPr>
          <w:rFonts w:hint="eastAsia" w:ascii="宋体" w:hAnsi="宋体" w:eastAsia="宋体" w:cs="Times New Roman"/>
          <w:color w:val="auto"/>
          <w:sz w:val="28"/>
          <w:szCs w:val="28"/>
          <w:highlight w:val="none"/>
          <w:u w:val="single"/>
        </w:rPr>
        <w:t xml:space="preserve">   </w:t>
      </w:r>
      <w:r>
        <w:rPr>
          <w:rFonts w:hint="eastAsia" w:ascii="宋体" w:hAnsi="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年</w:t>
      </w:r>
      <w:r>
        <w:rPr>
          <w:rFonts w:hint="eastAsia" w:ascii="宋体" w:hAnsi="宋体" w:eastAsia="宋体" w:cs="Times New Roman"/>
          <w:color w:val="auto"/>
          <w:sz w:val="28"/>
          <w:szCs w:val="28"/>
          <w:highlight w:val="none"/>
          <w:u w:val="single"/>
        </w:rPr>
        <w:t xml:space="preserve">  </w:t>
      </w:r>
      <w:r>
        <w:rPr>
          <w:rFonts w:hint="eastAsia" w:ascii="宋体" w:hAnsi="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月</w:t>
      </w:r>
      <w:r>
        <w:rPr>
          <w:rFonts w:hint="eastAsia" w:ascii="宋体" w:hAnsi="宋体" w:eastAsia="宋体" w:cs="Times New Roman"/>
          <w:color w:val="auto"/>
          <w:sz w:val="28"/>
          <w:szCs w:val="28"/>
          <w:highlight w:val="none"/>
          <w:u w:val="single"/>
        </w:rPr>
        <w:t xml:space="preserve"> </w:t>
      </w:r>
      <w:r>
        <w:rPr>
          <w:rFonts w:hint="eastAsia" w:ascii="宋体" w:hAnsi="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日</w:t>
      </w:r>
    </w:p>
    <w:p w14:paraId="23476F84">
      <w:pPr>
        <w:rPr>
          <w:rFonts w:hint="eastAsia" w:ascii="宋体" w:hAnsi="宋体" w:eastAsia="宋体" w:cs="Times New Roman"/>
          <w:b/>
          <w:color w:val="auto"/>
          <w:sz w:val="28"/>
          <w:szCs w:val="28"/>
          <w:highlight w:val="none"/>
          <w:u w:val="double"/>
        </w:rPr>
      </w:pPr>
    </w:p>
    <w:p w14:paraId="198AFBF0">
      <w:pPr>
        <w:rPr>
          <w:rFonts w:hint="eastAsia" w:ascii="宋体" w:hAnsi="宋体" w:eastAsia="宋体" w:cs="Times New Roman"/>
          <w:b/>
          <w:color w:val="auto"/>
          <w:sz w:val="28"/>
          <w:szCs w:val="28"/>
          <w:highlight w:val="none"/>
          <w:u w:val="double"/>
        </w:rPr>
      </w:pPr>
      <w:r>
        <w:rPr>
          <w:rFonts w:hint="eastAsia" w:ascii="宋体" w:hAnsi="宋体" w:eastAsia="宋体" w:cs="Times New Roman"/>
          <w:b/>
          <w:color w:val="auto"/>
          <w:sz w:val="28"/>
          <w:szCs w:val="28"/>
          <w:highlight w:val="none"/>
          <w:u w:val="double"/>
        </w:rPr>
        <w:t>（注：各供应商单独备足空白“二轮报价表”并加盖单位公章，用于第二次报价时填写，请供应商自行准备多份，用于后续报价）。</w:t>
      </w:r>
    </w:p>
    <w:p w14:paraId="5D214118">
      <w:pPr>
        <w:pStyle w:val="40"/>
        <w:ind w:left="0" w:leftChars="0" w:firstLine="0" w:firstLineChars="0"/>
        <w:rPr>
          <w:rFonts w:hint="eastAsia" w:ascii="宋体" w:hAnsi="宋体" w:eastAsia="宋体" w:cs="宋体"/>
          <w:color w:val="auto"/>
          <w:highlight w:val="none"/>
        </w:rPr>
      </w:pPr>
    </w:p>
    <w:sectPr>
      <w:headerReference r:id="rId3" w:type="default"/>
      <w:footerReference r:id="rId4" w:type="default"/>
      <w:pgSz w:w="11906" w:h="16838"/>
      <w:pgMar w:top="1440" w:right="1531" w:bottom="113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19C4B2-13DA-4ADE-AA36-345EF51F9429}"/>
  </w:font>
  <w:font w:name="黑体">
    <w:panose1 w:val="02010609060101010101"/>
    <w:charset w:val="86"/>
    <w:family w:val="auto"/>
    <w:pitch w:val="default"/>
    <w:sig w:usb0="800002BF" w:usb1="38CF7CFA" w:usb2="00000016" w:usb3="00000000" w:csb0="00040001" w:csb1="00000000"/>
    <w:embedRegular r:id="rId2" w:fontKey="{6CDFFBCD-4D60-4EAF-BD67-5E6F61D95C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fontKey="{EE2EE558-3B0A-4DBB-BBDE-27D8F21A04B4}"/>
  </w:font>
  <w:font w:name="幼圆">
    <w:altName w:val="宋体"/>
    <w:panose1 w:val="02010509060101010101"/>
    <w:charset w:val="86"/>
    <w:family w:val="modern"/>
    <w:pitch w:val="default"/>
    <w:sig w:usb0="00000000" w:usb1="00000000" w:usb2="00000000" w:usb3="00000000" w:csb0="00040000" w:csb1="00000000"/>
  </w:font>
  <w:font w:name="AngsanaUPC">
    <w:altName w:val="Microsoft Sans Serif"/>
    <w:panose1 w:val="00000000000000000000"/>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4" w:fontKey="{4193DBC7-E836-4729-A0B8-C11284C62B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1C4B">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78AC6">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878AC6">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4866">
    <w:pPr>
      <w:pStyle w:val="27"/>
      <w:pBdr>
        <w:bottom w:val="none" w:color="auto" w:sz="0" w:space="0"/>
      </w:pBdr>
      <w:tabs>
        <w:tab w:val="left" w:pos="8460"/>
        <w:tab w:val="left" w:pos="9180"/>
        <w:tab w:val="clear" w:pos="4153"/>
        <w:tab w:val="clear" w:pos="830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79"/>
      <w:lvlText w:val="%1."/>
      <w:lvlJc w:val="left"/>
      <w:pPr>
        <w:tabs>
          <w:tab w:val="left" w:pos="709"/>
        </w:tabs>
        <w:ind w:left="709" w:hanging="709"/>
      </w:pPr>
      <w:rPr>
        <w:rFonts w:hint="eastAsia"/>
      </w:rPr>
    </w:lvl>
    <w:lvl w:ilvl="1" w:tentative="0">
      <w:start w:val="1"/>
      <w:numFmt w:val="decimal"/>
      <w:pStyle w:val="123"/>
      <w:lvlText w:val="%1.%2"/>
      <w:lvlJc w:val="left"/>
      <w:pPr>
        <w:tabs>
          <w:tab w:val="left" w:pos="709"/>
        </w:tabs>
        <w:ind w:left="709" w:hanging="709"/>
      </w:pPr>
      <w:rPr>
        <w:rFonts w:hint="eastAsia"/>
      </w:rPr>
    </w:lvl>
    <w:lvl w:ilvl="2" w:tentative="0">
      <w:start w:val="1"/>
      <w:numFmt w:val="decimal"/>
      <w:pStyle w:val="133"/>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7B6242F"/>
    <w:multiLevelType w:val="multilevel"/>
    <w:tmpl w:val="27B6242F"/>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pStyle w:val="127"/>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7740CD31"/>
    <w:multiLevelType w:val="singleLevel"/>
    <w:tmpl w:val="7740CD31"/>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YmM4ZTkyZTdjZDAwYjZmOGY0YjY1Y2QxNzJlNGUifQ=="/>
  </w:docVars>
  <w:rsids>
    <w:rsidRoot w:val="002D677B"/>
    <w:rsid w:val="000065A8"/>
    <w:rsid w:val="000120AC"/>
    <w:rsid w:val="000145D1"/>
    <w:rsid w:val="00015C71"/>
    <w:rsid w:val="00021F1D"/>
    <w:rsid w:val="000271A7"/>
    <w:rsid w:val="00042454"/>
    <w:rsid w:val="00050554"/>
    <w:rsid w:val="00053B80"/>
    <w:rsid w:val="00053F56"/>
    <w:rsid w:val="00057B34"/>
    <w:rsid w:val="00061425"/>
    <w:rsid w:val="0006429A"/>
    <w:rsid w:val="00066BCF"/>
    <w:rsid w:val="0007068B"/>
    <w:rsid w:val="0007438F"/>
    <w:rsid w:val="00076581"/>
    <w:rsid w:val="0007716B"/>
    <w:rsid w:val="00083A3D"/>
    <w:rsid w:val="00085013"/>
    <w:rsid w:val="0008734A"/>
    <w:rsid w:val="00091912"/>
    <w:rsid w:val="00092365"/>
    <w:rsid w:val="00092509"/>
    <w:rsid w:val="00095459"/>
    <w:rsid w:val="000A18AA"/>
    <w:rsid w:val="000A3D75"/>
    <w:rsid w:val="000C024B"/>
    <w:rsid w:val="000D72BD"/>
    <w:rsid w:val="000E215B"/>
    <w:rsid w:val="000E29A9"/>
    <w:rsid w:val="000E4153"/>
    <w:rsid w:val="000F0318"/>
    <w:rsid w:val="000F3BA3"/>
    <w:rsid w:val="000F6DD6"/>
    <w:rsid w:val="0010048A"/>
    <w:rsid w:val="00102BDC"/>
    <w:rsid w:val="00111AA2"/>
    <w:rsid w:val="00117F05"/>
    <w:rsid w:val="001252D5"/>
    <w:rsid w:val="001260B2"/>
    <w:rsid w:val="00131F54"/>
    <w:rsid w:val="00135355"/>
    <w:rsid w:val="00146D70"/>
    <w:rsid w:val="00156254"/>
    <w:rsid w:val="001723C8"/>
    <w:rsid w:val="0018061A"/>
    <w:rsid w:val="0018758A"/>
    <w:rsid w:val="001903C6"/>
    <w:rsid w:val="00194473"/>
    <w:rsid w:val="001A3254"/>
    <w:rsid w:val="001B4F29"/>
    <w:rsid w:val="001B57E1"/>
    <w:rsid w:val="001C47BA"/>
    <w:rsid w:val="001C6B89"/>
    <w:rsid w:val="001D0AD5"/>
    <w:rsid w:val="00206019"/>
    <w:rsid w:val="002124DC"/>
    <w:rsid w:val="0021447E"/>
    <w:rsid w:val="00214D34"/>
    <w:rsid w:val="002175D2"/>
    <w:rsid w:val="00222133"/>
    <w:rsid w:val="00230806"/>
    <w:rsid w:val="00230AFD"/>
    <w:rsid w:val="00232B23"/>
    <w:rsid w:val="002369DC"/>
    <w:rsid w:val="00237B8A"/>
    <w:rsid w:val="0024002C"/>
    <w:rsid w:val="0025494F"/>
    <w:rsid w:val="00257F46"/>
    <w:rsid w:val="002656AE"/>
    <w:rsid w:val="0027392B"/>
    <w:rsid w:val="00281CBF"/>
    <w:rsid w:val="002908AE"/>
    <w:rsid w:val="00295D2C"/>
    <w:rsid w:val="002A2A22"/>
    <w:rsid w:val="002A5B98"/>
    <w:rsid w:val="002B3C2D"/>
    <w:rsid w:val="002B4142"/>
    <w:rsid w:val="002C3C10"/>
    <w:rsid w:val="002C3E11"/>
    <w:rsid w:val="002D05E4"/>
    <w:rsid w:val="002D508E"/>
    <w:rsid w:val="002D53B9"/>
    <w:rsid w:val="002D63D8"/>
    <w:rsid w:val="002D677B"/>
    <w:rsid w:val="002E0371"/>
    <w:rsid w:val="002E54B3"/>
    <w:rsid w:val="002F5374"/>
    <w:rsid w:val="002F5CAB"/>
    <w:rsid w:val="003012E0"/>
    <w:rsid w:val="003024E0"/>
    <w:rsid w:val="00314F50"/>
    <w:rsid w:val="00333694"/>
    <w:rsid w:val="003342EF"/>
    <w:rsid w:val="00337DCA"/>
    <w:rsid w:val="00341CB0"/>
    <w:rsid w:val="003452C5"/>
    <w:rsid w:val="003473C0"/>
    <w:rsid w:val="0035085F"/>
    <w:rsid w:val="00350E5F"/>
    <w:rsid w:val="00351453"/>
    <w:rsid w:val="00367D99"/>
    <w:rsid w:val="00370F26"/>
    <w:rsid w:val="00377066"/>
    <w:rsid w:val="00377D5D"/>
    <w:rsid w:val="003808D6"/>
    <w:rsid w:val="00385D3E"/>
    <w:rsid w:val="003870E4"/>
    <w:rsid w:val="00397F7C"/>
    <w:rsid w:val="003A03AB"/>
    <w:rsid w:val="003A537F"/>
    <w:rsid w:val="003C5726"/>
    <w:rsid w:val="003E0B3C"/>
    <w:rsid w:val="003E0CBC"/>
    <w:rsid w:val="003E7C3B"/>
    <w:rsid w:val="003F4342"/>
    <w:rsid w:val="003F47D7"/>
    <w:rsid w:val="00410AD8"/>
    <w:rsid w:val="00413100"/>
    <w:rsid w:val="0042205B"/>
    <w:rsid w:val="00423C6D"/>
    <w:rsid w:val="00424DA5"/>
    <w:rsid w:val="00425C52"/>
    <w:rsid w:val="00426DF8"/>
    <w:rsid w:val="004367F9"/>
    <w:rsid w:val="004407D2"/>
    <w:rsid w:val="004413B4"/>
    <w:rsid w:val="00453F7D"/>
    <w:rsid w:val="00480966"/>
    <w:rsid w:val="004A2AC5"/>
    <w:rsid w:val="004A45A4"/>
    <w:rsid w:val="004B262C"/>
    <w:rsid w:val="004C64FF"/>
    <w:rsid w:val="004D5F5D"/>
    <w:rsid w:val="004E3028"/>
    <w:rsid w:val="004F279A"/>
    <w:rsid w:val="005008D7"/>
    <w:rsid w:val="0050472D"/>
    <w:rsid w:val="005236AE"/>
    <w:rsid w:val="00524A87"/>
    <w:rsid w:val="00533AAE"/>
    <w:rsid w:val="00551AC9"/>
    <w:rsid w:val="00554CE3"/>
    <w:rsid w:val="00561A1B"/>
    <w:rsid w:val="00564434"/>
    <w:rsid w:val="00570DAC"/>
    <w:rsid w:val="005710D8"/>
    <w:rsid w:val="00592C77"/>
    <w:rsid w:val="005A03E4"/>
    <w:rsid w:val="005B04B8"/>
    <w:rsid w:val="005B56E3"/>
    <w:rsid w:val="005E38A4"/>
    <w:rsid w:val="005E56CC"/>
    <w:rsid w:val="005E754A"/>
    <w:rsid w:val="005F7D7F"/>
    <w:rsid w:val="00602E49"/>
    <w:rsid w:val="00615FAE"/>
    <w:rsid w:val="00627E6B"/>
    <w:rsid w:val="00632A2B"/>
    <w:rsid w:val="00641B53"/>
    <w:rsid w:val="006471E6"/>
    <w:rsid w:val="006532B5"/>
    <w:rsid w:val="00654D2C"/>
    <w:rsid w:val="00661562"/>
    <w:rsid w:val="00677B80"/>
    <w:rsid w:val="00682117"/>
    <w:rsid w:val="0068795B"/>
    <w:rsid w:val="0069470E"/>
    <w:rsid w:val="00695280"/>
    <w:rsid w:val="006A5848"/>
    <w:rsid w:val="006B21E7"/>
    <w:rsid w:val="006C331F"/>
    <w:rsid w:val="006C426B"/>
    <w:rsid w:val="006D3DB9"/>
    <w:rsid w:val="006F01D1"/>
    <w:rsid w:val="006F3D3E"/>
    <w:rsid w:val="006F49EE"/>
    <w:rsid w:val="006F76B2"/>
    <w:rsid w:val="00703A7D"/>
    <w:rsid w:val="007045A4"/>
    <w:rsid w:val="00715AE4"/>
    <w:rsid w:val="0073207C"/>
    <w:rsid w:val="007550DC"/>
    <w:rsid w:val="00756A96"/>
    <w:rsid w:val="00766A44"/>
    <w:rsid w:val="00767BB2"/>
    <w:rsid w:val="007757AA"/>
    <w:rsid w:val="007760C2"/>
    <w:rsid w:val="00777046"/>
    <w:rsid w:val="00784363"/>
    <w:rsid w:val="0078488E"/>
    <w:rsid w:val="00786001"/>
    <w:rsid w:val="00790BD6"/>
    <w:rsid w:val="0079235B"/>
    <w:rsid w:val="007938CC"/>
    <w:rsid w:val="007A2618"/>
    <w:rsid w:val="007A4EEE"/>
    <w:rsid w:val="007B00FB"/>
    <w:rsid w:val="007B6422"/>
    <w:rsid w:val="007C2614"/>
    <w:rsid w:val="007E5141"/>
    <w:rsid w:val="007F2C26"/>
    <w:rsid w:val="007F3323"/>
    <w:rsid w:val="007F47DC"/>
    <w:rsid w:val="007F618B"/>
    <w:rsid w:val="007F72E0"/>
    <w:rsid w:val="00802679"/>
    <w:rsid w:val="00810784"/>
    <w:rsid w:val="00821EE8"/>
    <w:rsid w:val="008448CD"/>
    <w:rsid w:val="0085424F"/>
    <w:rsid w:val="008544E6"/>
    <w:rsid w:val="0086536B"/>
    <w:rsid w:val="008750EC"/>
    <w:rsid w:val="0089296C"/>
    <w:rsid w:val="008A6D3D"/>
    <w:rsid w:val="008B0E3B"/>
    <w:rsid w:val="008C0ED2"/>
    <w:rsid w:val="008C2F95"/>
    <w:rsid w:val="008D216E"/>
    <w:rsid w:val="008D283D"/>
    <w:rsid w:val="008D452C"/>
    <w:rsid w:val="008E0D41"/>
    <w:rsid w:val="008F6452"/>
    <w:rsid w:val="00906599"/>
    <w:rsid w:val="00906A77"/>
    <w:rsid w:val="00915B06"/>
    <w:rsid w:val="009162D0"/>
    <w:rsid w:val="00920AD7"/>
    <w:rsid w:val="00922A63"/>
    <w:rsid w:val="00925990"/>
    <w:rsid w:val="00940C0D"/>
    <w:rsid w:val="00942328"/>
    <w:rsid w:val="0094320A"/>
    <w:rsid w:val="0095136F"/>
    <w:rsid w:val="0096077C"/>
    <w:rsid w:val="009628D2"/>
    <w:rsid w:val="00964C0F"/>
    <w:rsid w:val="00970CF7"/>
    <w:rsid w:val="00971C87"/>
    <w:rsid w:val="0097577C"/>
    <w:rsid w:val="00980525"/>
    <w:rsid w:val="00993519"/>
    <w:rsid w:val="00995703"/>
    <w:rsid w:val="00997D30"/>
    <w:rsid w:val="009A53FA"/>
    <w:rsid w:val="009B5EF1"/>
    <w:rsid w:val="009D0332"/>
    <w:rsid w:val="009E17E0"/>
    <w:rsid w:val="009E72CC"/>
    <w:rsid w:val="00A04123"/>
    <w:rsid w:val="00A051CF"/>
    <w:rsid w:val="00A053DD"/>
    <w:rsid w:val="00A07DAA"/>
    <w:rsid w:val="00A12E92"/>
    <w:rsid w:val="00A14F6A"/>
    <w:rsid w:val="00A17E72"/>
    <w:rsid w:val="00A17EB8"/>
    <w:rsid w:val="00A2462A"/>
    <w:rsid w:val="00A27C2C"/>
    <w:rsid w:val="00A301BA"/>
    <w:rsid w:val="00A3443C"/>
    <w:rsid w:val="00A5114C"/>
    <w:rsid w:val="00A52EA8"/>
    <w:rsid w:val="00A55114"/>
    <w:rsid w:val="00A612D2"/>
    <w:rsid w:val="00A64B8E"/>
    <w:rsid w:val="00A71F5D"/>
    <w:rsid w:val="00A7302C"/>
    <w:rsid w:val="00A74097"/>
    <w:rsid w:val="00A74C0B"/>
    <w:rsid w:val="00A761EF"/>
    <w:rsid w:val="00A8078D"/>
    <w:rsid w:val="00A82376"/>
    <w:rsid w:val="00A85BA0"/>
    <w:rsid w:val="00A92CF3"/>
    <w:rsid w:val="00A95755"/>
    <w:rsid w:val="00A957C6"/>
    <w:rsid w:val="00A966A5"/>
    <w:rsid w:val="00AA5057"/>
    <w:rsid w:val="00AA79BF"/>
    <w:rsid w:val="00AB51D7"/>
    <w:rsid w:val="00AB77FB"/>
    <w:rsid w:val="00AC4741"/>
    <w:rsid w:val="00AD051D"/>
    <w:rsid w:val="00AD100F"/>
    <w:rsid w:val="00AD75C7"/>
    <w:rsid w:val="00B00630"/>
    <w:rsid w:val="00B007DF"/>
    <w:rsid w:val="00B01569"/>
    <w:rsid w:val="00B0564F"/>
    <w:rsid w:val="00B15B65"/>
    <w:rsid w:val="00B21075"/>
    <w:rsid w:val="00B26D08"/>
    <w:rsid w:val="00B27CFD"/>
    <w:rsid w:val="00B41302"/>
    <w:rsid w:val="00B4726F"/>
    <w:rsid w:val="00B57818"/>
    <w:rsid w:val="00B578EB"/>
    <w:rsid w:val="00B7616C"/>
    <w:rsid w:val="00B7644B"/>
    <w:rsid w:val="00B80346"/>
    <w:rsid w:val="00B9032C"/>
    <w:rsid w:val="00B94641"/>
    <w:rsid w:val="00BA10A8"/>
    <w:rsid w:val="00BA136D"/>
    <w:rsid w:val="00BA3764"/>
    <w:rsid w:val="00BB63DF"/>
    <w:rsid w:val="00BB7605"/>
    <w:rsid w:val="00BC2739"/>
    <w:rsid w:val="00BC5045"/>
    <w:rsid w:val="00BD0B80"/>
    <w:rsid w:val="00BF0FCD"/>
    <w:rsid w:val="00C0313E"/>
    <w:rsid w:val="00C06A9F"/>
    <w:rsid w:val="00C357D1"/>
    <w:rsid w:val="00C35B5F"/>
    <w:rsid w:val="00C4377A"/>
    <w:rsid w:val="00C44BC7"/>
    <w:rsid w:val="00C5087F"/>
    <w:rsid w:val="00C56F48"/>
    <w:rsid w:val="00C6343E"/>
    <w:rsid w:val="00C71EC0"/>
    <w:rsid w:val="00C72D9C"/>
    <w:rsid w:val="00C734AB"/>
    <w:rsid w:val="00C84AAC"/>
    <w:rsid w:val="00C946A3"/>
    <w:rsid w:val="00C97CD9"/>
    <w:rsid w:val="00CA32AE"/>
    <w:rsid w:val="00CA60CE"/>
    <w:rsid w:val="00CB2CE0"/>
    <w:rsid w:val="00CB7D10"/>
    <w:rsid w:val="00CD256E"/>
    <w:rsid w:val="00CD6BBE"/>
    <w:rsid w:val="00CE1386"/>
    <w:rsid w:val="00CE28E9"/>
    <w:rsid w:val="00CE3BB4"/>
    <w:rsid w:val="00CE6157"/>
    <w:rsid w:val="00CF10C1"/>
    <w:rsid w:val="00CF3743"/>
    <w:rsid w:val="00D027C9"/>
    <w:rsid w:val="00D117E3"/>
    <w:rsid w:val="00D13AEE"/>
    <w:rsid w:val="00D16453"/>
    <w:rsid w:val="00D175FB"/>
    <w:rsid w:val="00D2401D"/>
    <w:rsid w:val="00D24DAB"/>
    <w:rsid w:val="00D33ECF"/>
    <w:rsid w:val="00D405E3"/>
    <w:rsid w:val="00D429C1"/>
    <w:rsid w:val="00D4462E"/>
    <w:rsid w:val="00D570ED"/>
    <w:rsid w:val="00D6083A"/>
    <w:rsid w:val="00D60A04"/>
    <w:rsid w:val="00D65F15"/>
    <w:rsid w:val="00D748D2"/>
    <w:rsid w:val="00D83A8E"/>
    <w:rsid w:val="00DA1E4E"/>
    <w:rsid w:val="00DA2C77"/>
    <w:rsid w:val="00DA3309"/>
    <w:rsid w:val="00DA578E"/>
    <w:rsid w:val="00DA63DF"/>
    <w:rsid w:val="00DB0FF7"/>
    <w:rsid w:val="00DC029A"/>
    <w:rsid w:val="00DC1314"/>
    <w:rsid w:val="00DC653F"/>
    <w:rsid w:val="00DD1C69"/>
    <w:rsid w:val="00DD2C6C"/>
    <w:rsid w:val="00DD7FA0"/>
    <w:rsid w:val="00DE18CD"/>
    <w:rsid w:val="00DE2A76"/>
    <w:rsid w:val="00DE7359"/>
    <w:rsid w:val="00DF0648"/>
    <w:rsid w:val="00DF56DA"/>
    <w:rsid w:val="00DF7DF4"/>
    <w:rsid w:val="00E00F1A"/>
    <w:rsid w:val="00E025A5"/>
    <w:rsid w:val="00E056A4"/>
    <w:rsid w:val="00E10946"/>
    <w:rsid w:val="00E119E3"/>
    <w:rsid w:val="00E15875"/>
    <w:rsid w:val="00E20914"/>
    <w:rsid w:val="00E231B2"/>
    <w:rsid w:val="00E325EC"/>
    <w:rsid w:val="00E359AE"/>
    <w:rsid w:val="00E46B03"/>
    <w:rsid w:val="00E55D55"/>
    <w:rsid w:val="00E617E1"/>
    <w:rsid w:val="00E81861"/>
    <w:rsid w:val="00E848B5"/>
    <w:rsid w:val="00E912B4"/>
    <w:rsid w:val="00EA04F8"/>
    <w:rsid w:val="00EA104D"/>
    <w:rsid w:val="00EA3497"/>
    <w:rsid w:val="00EB3BD8"/>
    <w:rsid w:val="00ED1FDC"/>
    <w:rsid w:val="00ED29FD"/>
    <w:rsid w:val="00ED4AE4"/>
    <w:rsid w:val="00EE11E5"/>
    <w:rsid w:val="00EE2F21"/>
    <w:rsid w:val="00EE3BB0"/>
    <w:rsid w:val="00EE4358"/>
    <w:rsid w:val="00EE5630"/>
    <w:rsid w:val="00EF2195"/>
    <w:rsid w:val="00EF3C5F"/>
    <w:rsid w:val="00F0531D"/>
    <w:rsid w:val="00F05A49"/>
    <w:rsid w:val="00F1594F"/>
    <w:rsid w:val="00F22826"/>
    <w:rsid w:val="00F22829"/>
    <w:rsid w:val="00F26EBD"/>
    <w:rsid w:val="00F31F25"/>
    <w:rsid w:val="00F322A4"/>
    <w:rsid w:val="00F40445"/>
    <w:rsid w:val="00F43B03"/>
    <w:rsid w:val="00F464A7"/>
    <w:rsid w:val="00F52A9A"/>
    <w:rsid w:val="00F564DA"/>
    <w:rsid w:val="00F64830"/>
    <w:rsid w:val="00F74BC0"/>
    <w:rsid w:val="00F76D41"/>
    <w:rsid w:val="00F8773C"/>
    <w:rsid w:val="00F91C4B"/>
    <w:rsid w:val="00F927C2"/>
    <w:rsid w:val="00FA1EEE"/>
    <w:rsid w:val="00FA35DA"/>
    <w:rsid w:val="00FB204A"/>
    <w:rsid w:val="00FB29F0"/>
    <w:rsid w:val="00FB2FAD"/>
    <w:rsid w:val="00FC1D08"/>
    <w:rsid w:val="00FC3758"/>
    <w:rsid w:val="00FC79F6"/>
    <w:rsid w:val="00FD0D2D"/>
    <w:rsid w:val="00FE0F17"/>
    <w:rsid w:val="00FE308E"/>
    <w:rsid w:val="00FE49D8"/>
    <w:rsid w:val="00FF1C7C"/>
    <w:rsid w:val="00FF2335"/>
    <w:rsid w:val="01693F33"/>
    <w:rsid w:val="01722330"/>
    <w:rsid w:val="017E1B19"/>
    <w:rsid w:val="018A58CB"/>
    <w:rsid w:val="01D3583A"/>
    <w:rsid w:val="01D6466C"/>
    <w:rsid w:val="01ED3B47"/>
    <w:rsid w:val="03062E20"/>
    <w:rsid w:val="03217B69"/>
    <w:rsid w:val="036D3CDD"/>
    <w:rsid w:val="03AD09DD"/>
    <w:rsid w:val="03B22505"/>
    <w:rsid w:val="03CF3A69"/>
    <w:rsid w:val="03E67F10"/>
    <w:rsid w:val="04067181"/>
    <w:rsid w:val="04103CCA"/>
    <w:rsid w:val="044611D3"/>
    <w:rsid w:val="04A22F2C"/>
    <w:rsid w:val="04BB586B"/>
    <w:rsid w:val="04EE7346"/>
    <w:rsid w:val="04FC263C"/>
    <w:rsid w:val="05045387"/>
    <w:rsid w:val="0507684A"/>
    <w:rsid w:val="05104E6D"/>
    <w:rsid w:val="05662562"/>
    <w:rsid w:val="058131F1"/>
    <w:rsid w:val="059D3E1F"/>
    <w:rsid w:val="05A76A4C"/>
    <w:rsid w:val="05C50C80"/>
    <w:rsid w:val="05ED76CD"/>
    <w:rsid w:val="05F872A7"/>
    <w:rsid w:val="0606110A"/>
    <w:rsid w:val="06262FF6"/>
    <w:rsid w:val="071E647F"/>
    <w:rsid w:val="07267565"/>
    <w:rsid w:val="076A5F83"/>
    <w:rsid w:val="078C18B4"/>
    <w:rsid w:val="07A20F5E"/>
    <w:rsid w:val="07CC09EB"/>
    <w:rsid w:val="07D80DC2"/>
    <w:rsid w:val="07F12200"/>
    <w:rsid w:val="080B49C0"/>
    <w:rsid w:val="08510338"/>
    <w:rsid w:val="08531B86"/>
    <w:rsid w:val="0861256E"/>
    <w:rsid w:val="087C1DEE"/>
    <w:rsid w:val="089B03BE"/>
    <w:rsid w:val="08B40DB9"/>
    <w:rsid w:val="09216B15"/>
    <w:rsid w:val="095F7F4C"/>
    <w:rsid w:val="09A60123"/>
    <w:rsid w:val="09AE75F4"/>
    <w:rsid w:val="09B95F2A"/>
    <w:rsid w:val="0A0C7574"/>
    <w:rsid w:val="0A3D172D"/>
    <w:rsid w:val="0A417EAB"/>
    <w:rsid w:val="0A424E4D"/>
    <w:rsid w:val="0A507331"/>
    <w:rsid w:val="0A682522"/>
    <w:rsid w:val="0A785939"/>
    <w:rsid w:val="0A8074DF"/>
    <w:rsid w:val="0A886720"/>
    <w:rsid w:val="0A8D3D36"/>
    <w:rsid w:val="0AD33E3F"/>
    <w:rsid w:val="0AF73FD1"/>
    <w:rsid w:val="0AF82AC1"/>
    <w:rsid w:val="0B0E604D"/>
    <w:rsid w:val="0B633415"/>
    <w:rsid w:val="0B66533A"/>
    <w:rsid w:val="0B84414D"/>
    <w:rsid w:val="0BC55E7E"/>
    <w:rsid w:val="0BD46BAD"/>
    <w:rsid w:val="0BDC31C7"/>
    <w:rsid w:val="0BE120B2"/>
    <w:rsid w:val="0BFF2A12"/>
    <w:rsid w:val="0C1E10EA"/>
    <w:rsid w:val="0CA64D1B"/>
    <w:rsid w:val="0CC0545E"/>
    <w:rsid w:val="0CD520F0"/>
    <w:rsid w:val="0CE73BD2"/>
    <w:rsid w:val="0CEC43CA"/>
    <w:rsid w:val="0D1B1ACD"/>
    <w:rsid w:val="0D301714"/>
    <w:rsid w:val="0D3A63F7"/>
    <w:rsid w:val="0D50431A"/>
    <w:rsid w:val="0D5257BE"/>
    <w:rsid w:val="0D6214AA"/>
    <w:rsid w:val="0D837D9E"/>
    <w:rsid w:val="0D9160F5"/>
    <w:rsid w:val="0DC932D7"/>
    <w:rsid w:val="0DF624E0"/>
    <w:rsid w:val="0E0407B3"/>
    <w:rsid w:val="0E346850"/>
    <w:rsid w:val="0E404088"/>
    <w:rsid w:val="0EA113FA"/>
    <w:rsid w:val="0EB43F87"/>
    <w:rsid w:val="0EB971F7"/>
    <w:rsid w:val="0ECA11CC"/>
    <w:rsid w:val="0F390E8E"/>
    <w:rsid w:val="0F8E03AD"/>
    <w:rsid w:val="0F8F57EF"/>
    <w:rsid w:val="0FAD1102"/>
    <w:rsid w:val="0FC465FA"/>
    <w:rsid w:val="0FF97625"/>
    <w:rsid w:val="1018304A"/>
    <w:rsid w:val="102819BD"/>
    <w:rsid w:val="104B091B"/>
    <w:rsid w:val="1068327B"/>
    <w:rsid w:val="109E38E4"/>
    <w:rsid w:val="10E548CC"/>
    <w:rsid w:val="110475FD"/>
    <w:rsid w:val="111048B0"/>
    <w:rsid w:val="111807FE"/>
    <w:rsid w:val="111E393A"/>
    <w:rsid w:val="1160764C"/>
    <w:rsid w:val="119066D9"/>
    <w:rsid w:val="11A335B5"/>
    <w:rsid w:val="11EB4164"/>
    <w:rsid w:val="1219428E"/>
    <w:rsid w:val="12732237"/>
    <w:rsid w:val="12A52565"/>
    <w:rsid w:val="133A6B5F"/>
    <w:rsid w:val="13426006"/>
    <w:rsid w:val="13427DB4"/>
    <w:rsid w:val="13490C7D"/>
    <w:rsid w:val="135C3D02"/>
    <w:rsid w:val="13CB13FC"/>
    <w:rsid w:val="13D52CCE"/>
    <w:rsid w:val="14103A0E"/>
    <w:rsid w:val="141554C8"/>
    <w:rsid w:val="141F35AC"/>
    <w:rsid w:val="1424570B"/>
    <w:rsid w:val="14A625C4"/>
    <w:rsid w:val="14E27C21"/>
    <w:rsid w:val="152C2AC9"/>
    <w:rsid w:val="153B2049"/>
    <w:rsid w:val="15614DA8"/>
    <w:rsid w:val="157C0F81"/>
    <w:rsid w:val="15AD79BC"/>
    <w:rsid w:val="15BE749A"/>
    <w:rsid w:val="15C70A44"/>
    <w:rsid w:val="15D849FF"/>
    <w:rsid w:val="16066864"/>
    <w:rsid w:val="160B6B83"/>
    <w:rsid w:val="16991EF7"/>
    <w:rsid w:val="16B54D41"/>
    <w:rsid w:val="16BA2357"/>
    <w:rsid w:val="17316607"/>
    <w:rsid w:val="173850A7"/>
    <w:rsid w:val="174C0AC9"/>
    <w:rsid w:val="177B4CDC"/>
    <w:rsid w:val="1780534F"/>
    <w:rsid w:val="17AA1D0D"/>
    <w:rsid w:val="17BA7FA6"/>
    <w:rsid w:val="17D26C83"/>
    <w:rsid w:val="18153CE9"/>
    <w:rsid w:val="18273A1C"/>
    <w:rsid w:val="18B0756E"/>
    <w:rsid w:val="18BC3FF3"/>
    <w:rsid w:val="18CD0120"/>
    <w:rsid w:val="18FD74C3"/>
    <w:rsid w:val="19004967"/>
    <w:rsid w:val="192166BD"/>
    <w:rsid w:val="192B2CC7"/>
    <w:rsid w:val="192F0DDA"/>
    <w:rsid w:val="19362169"/>
    <w:rsid w:val="198B1495"/>
    <w:rsid w:val="198D5080"/>
    <w:rsid w:val="19962C07"/>
    <w:rsid w:val="19A277FE"/>
    <w:rsid w:val="19B06AFB"/>
    <w:rsid w:val="19DD0836"/>
    <w:rsid w:val="1A55661F"/>
    <w:rsid w:val="1A577219"/>
    <w:rsid w:val="1A6C248D"/>
    <w:rsid w:val="1A6F363B"/>
    <w:rsid w:val="1ABB268D"/>
    <w:rsid w:val="1AC01D51"/>
    <w:rsid w:val="1ACE63D1"/>
    <w:rsid w:val="1AF27A40"/>
    <w:rsid w:val="1AF45622"/>
    <w:rsid w:val="1B0B3181"/>
    <w:rsid w:val="1B5A7D5C"/>
    <w:rsid w:val="1B7B26E1"/>
    <w:rsid w:val="1B8D1DE8"/>
    <w:rsid w:val="1BBFA30C"/>
    <w:rsid w:val="1BF36CB5"/>
    <w:rsid w:val="1C1A0C17"/>
    <w:rsid w:val="1C32741A"/>
    <w:rsid w:val="1C405AE5"/>
    <w:rsid w:val="1CD75A11"/>
    <w:rsid w:val="1CED75CF"/>
    <w:rsid w:val="1D3C1D18"/>
    <w:rsid w:val="1D44297A"/>
    <w:rsid w:val="1D6D55BB"/>
    <w:rsid w:val="1D8051D3"/>
    <w:rsid w:val="1D960483"/>
    <w:rsid w:val="1D9E11A8"/>
    <w:rsid w:val="1DA636CA"/>
    <w:rsid w:val="1DB96EC4"/>
    <w:rsid w:val="1DDA3B48"/>
    <w:rsid w:val="1DF15284"/>
    <w:rsid w:val="1DFB74DD"/>
    <w:rsid w:val="1E015E7F"/>
    <w:rsid w:val="1E5B107D"/>
    <w:rsid w:val="1EE73F05"/>
    <w:rsid w:val="1F171CFB"/>
    <w:rsid w:val="1F38650F"/>
    <w:rsid w:val="1F39232E"/>
    <w:rsid w:val="1F3C13B6"/>
    <w:rsid w:val="1F486752"/>
    <w:rsid w:val="1F4B49D6"/>
    <w:rsid w:val="1F7F413E"/>
    <w:rsid w:val="1F882FF2"/>
    <w:rsid w:val="1FD043D3"/>
    <w:rsid w:val="1FF85069"/>
    <w:rsid w:val="20036B1D"/>
    <w:rsid w:val="20075AF3"/>
    <w:rsid w:val="20315438"/>
    <w:rsid w:val="204D5FEA"/>
    <w:rsid w:val="209B4FA7"/>
    <w:rsid w:val="20A1133F"/>
    <w:rsid w:val="20B019B5"/>
    <w:rsid w:val="20F41885"/>
    <w:rsid w:val="212611D2"/>
    <w:rsid w:val="212E3725"/>
    <w:rsid w:val="21354AB4"/>
    <w:rsid w:val="21494A03"/>
    <w:rsid w:val="21703D3E"/>
    <w:rsid w:val="21731A80"/>
    <w:rsid w:val="21867774"/>
    <w:rsid w:val="21993B18"/>
    <w:rsid w:val="219959F5"/>
    <w:rsid w:val="21A84153"/>
    <w:rsid w:val="21C85928"/>
    <w:rsid w:val="21E675CD"/>
    <w:rsid w:val="22163CE6"/>
    <w:rsid w:val="22464B8D"/>
    <w:rsid w:val="22575FAD"/>
    <w:rsid w:val="229A201B"/>
    <w:rsid w:val="229F2753"/>
    <w:rsid w:val="22DD3655"/>
    <w:rsid w:val="230230BC"/>
    <w:rsid w:val="232748D0"/>
    <w:rsid w:val="233F1DB4"/>
    <w:rsid w:val="234B4A63"/>
    <w:rsid w:val="23675615"/>
    <w:rsid w:val="239161EE"/>
    <w:rsid w:val="239974D6"/>
    <w:rsid w:val="23E266D0"/>
    <w:rsid w:val="23E4618A"/>
    <w:rsid w:val="241412F8"/>
    <w:rsid w:val="244E3D8C"/>
    <w:rsid w:val="246F4781"/>
    <w:rsid w:val="24831FDA"/>
    <w:rsid w:val="24AE34FB"/>
    <w:rsid w:val="24B335CE"/>
    <w:rsid w:val="24CA7C09"/>
    <w:rsid w:val="24D35FE5"/>
    <w:rsid w:val="24F11BE1"/>
    <w:rsid w:val="25070E5D"/>
    <w:rsid w:val="25755DC7"/>
    <w:rsid w:val="258B76F4"/>
    <w:rsid w:val="25C91C6F"/>
    <w:rsid w:val="25D839A0"/>
    <w:rsid w:val="25EF0E4B"/>
    <w:rsid w:val="25FE2342"/>
    <w:rsid w:val="26272215"/>
    <w:rsid w:val="269169B4"/>
    <w:rsid w:val="269C26E3"/>
    <w:rsid w:val="26B66697"/>
    <w:rsid w:val="27110C4C"/>
    <w:rsid w:val="272E2D63"/>
    <w:rsid w:val="27354687"/>
    <w:rsid w:val="27410CB9"/>
    <w:rsid w:val="27435A51"/>
    <w:rsid w:val="2749750B"/>
    <w:rsid w:val="274D515E"/>
    <w:rsid w:val="276D441A"/>
    <w:rsid w:val="27D94C4A"/>
    <w:rsid w:val="28156F15"/>
    <w:rsid w:val="281A0EA7"/>
    <w:rsid w:val="2861396F"/>
    <w:rsid w:val="28A349F9"/>
    <w:rsid w:val="28B44010"/>
    <w:rsid w:val="28B74948"/>
    <w:rsid w:val="28F65471"/>
    <w:rsid w:val="29023E15"/>
    <w:rsid w:val="29384EA8"/>
    <w:rsid w:val="29A44ECD"/>
    <w:rsid w:val="29CC520E"/>
    <w:rsid w:val="29E26463"/>
    <w:rsid w:val="29F179E6"/>
    <w:rsid w:val="2A023B5C"/>
    <w:rsid w:val="2A07065D"/>
    <w:rsid w:val="2A0A08C3"/>
    <w:rsid w:val="2A396CB3"/>
    <w:rsid w:val="2A534564"/>
    <w:rsid w:val="2A573A70"/>
    <w:rsid w:val="2A8479B4"/>
    <w:rsid w:val="2B715282"/>
    <w:rsid w:val="2BAA639B"/>
    <w:rsid w:val="2C057779"/>
    <w:rsid w:val="2C2440A3"/>
    <w:rsid w:val="2C2B3683"/>
    <w:rsid w:val="2C32091F"/>
    <w:rsid w:val="2C332538"/>
    <w:rsid w:val="2C45001C"/>
    <w:rsid w:val="2C7F47E0"/>
    <w:rsid w:val="2CBD48CE"/>
    <w:rsid w:val="2CE211B2"/>
    <w:rsid w:val="2D3D190A"/>
    <w:rsid w:val="2D4A5D8B"/>
    <w:rsid w:val="2D4F514F"/>
    <w:rsid w:val="2DAE631A"/>
    <w:rsid w:val="2DE41D3C"/>
    <w:rsid w:val="2E015B36"/>
    <w:rsid w:val="2E275F81"/>
    <w:rsid w:val="2E3B3926"/>
    <w:rsid w:val="2E4E51C2"/>
    <w:rsid w:val="2E514979"/>
    <w:rsid w:val="2E750BE6"/>
    <w:rsid w:val="2E77681E"/>
    <w:rsid w:val="2E960B5C"/>
    <w:rsid w:val="2EA63495"/>
    <w:rsid w:val="2EC40DCF"/>
    <w:rsid w:val="2F4B2B19"/>
    <w:rsid w:val="2F6246CC"/>
    <w:rsid w:val="2F6A44C2"/>
    <w:rsid w:val="2F837332"/>
    <w:rsid w:val="2F90494F"/>
    <w:rsid w:val="2FAA0D63"/>
    <w:rsid w:val="2FBF1AD4"/>
    <w:rsid w:val="2FC53683"/>
    <w:rsid w:val="2FE97A5F"/>
    <w:rsid w:val="301663F8"/>
    <w:rsid w:val="30226B4B"/>
    <w:rsid w:val="302E54F0"/>
    <w:rsid w:val="3045283A"/>
    <w:rsid w:val="305A47DE"/>
    <w:rsid w:val="309E348C"/>
    <w:rsid w:val="30B26121"/>
    <w:rsid w:val="30B57283"/>
    <w:rsid w:val="30C31D04"/>
    <w:rsid w:val="30C45E54"/>
    <w:rsid w:val="30D342E9"/>
    <w:rsid w:val="30FC739C"/>
    <w:rsid w:val="310426F5"/>
    <w:rsid w:val="31394322"/>
    <w:rsid w:val="316E28BE"/>
    <w:rsid w:val="3184082E"/>
    <w:rsid w:val="31F93BF5"/>
    <w:rsid w:val="31FD7870"/>
    <w:rsid w:val="32075FF9"/>
    <w:rsid w:val="320A04A9"/>
    <w:rsid w:val="320A7897"/>
    <w:rsid w:val="321B5F48"/>
    <w:rsid w:val="32292CCA"/>
    <w:rsid w:val="32617B06"/>
    <w:rsid w:val="328304A8"/>
    <w:rsid w:val="328524F6"/>
    <w:rsid w:val="328819D0"/>
    <w:rsid w:val="32BC5F4D"/>
    <w:rsid w:val="32CC7242"/>
    <w:rsid w:val="32ED1692"/>
    <w:rsid w:val="33280087"/>
    <w:rsid w:val="332E1CAB"/>
    <w:rsid w:val="33393656"/>
    <w:rsid w:val="337C1CD3"/>
    <w:rsid w:val="33BF05D0"/>
    <w:rsid w:val="33C11B6F"/>
    <w:rsid w:val="33DB598F"/>
    <w:rsid w:val="33DE547F"/>
    <w:rsid w:val="33EC7E80"/>
    <w:rsid w:val="33FE364D"/>
    <w:rsid w:val="3401497A"/>
    <w:rsid w:val="341744ED"/>
    <w:rsid w:val="3429115A"/>
    <w:rsid w:val="34325CD9"/>
    <w:rsid w:val="346113B3"/>
    <w:rsid w:val="34930017"/>
    <w:rsid w:val="34F2580B"/>
    <w:rsid w:val="35523A2F"/>
    <w:rsid w:val="3569521C"/>
    <w:rsid w:val="358B0865"/>
    <w:rsid w:val="35DA3A24"/>
    <w:rsid w:val="35E825E5"/>
    <w:rsid w:val="36015E3B"/>
    <w:rsid w:val="36024564"/>
    <w:rsid w:val="36276335"/>
    <w:rsid w:val="3647730B"/>
    <w:rsid w:val="36581519"/>
    <w:rsid w:val="367B6FB5"/>
    <w:rsid w:val="36981B5D"/>
    <w:rsid w:val="36A9634B"/>
    <w:rsid w:val="36B91A9C"/>
    <w:rsid w:val="36D079C8"/>
    <w:rsid w:val="36DA0D29"/>
    <w:rsid w:val="3770061D"/>
    <w:rsid w:val="37D716E7"/>
    <w:rsid w:val="38217169"/>
    <w:rsid w:val="383026A7"/>
    <w:rsid w:val="38CC58A6"/>
    <w:rsid w:val="39096AFA"/>
    <w:rsid w:val="390A4CE0"/>
    <w:rsid w:val="392E030F"/>
    <w:rsid w:val="39335925"/>
    <w:rsid w:val="394915CF"/>
    <w:rsid w:val="396C52DB"/>
    <w:rsid w:val="3976413E"/>
    <w:rsid w:val="39A552A4"/>
    <w:rsid w:val="39B60304"/>
    <w:rsid w:val="39D761EF"/>
    <w:rsid w:val="3A013C75"/>
    <w:rsid w:val="3A025808"/>
    <w:rsid w:val="3A075D51"/>
    <w:rsid w:val="3A75112A"/>
    <w:rsid w:val="3A76410D"/>
    <w:rsid w:val="3A886145"/>
    <w:rsid w:val="3A8F3EBA"/>
    <w:rsid w:val="3A992512"/>
    <w:rsid w:val="3AAA60BB"/>
    <w:rsid w:val="3AB10259"/>
    <w:rsid w:val="3ABA6222"/>
    <w:rsid w:val="3AD17D61"/>
    <w:rsid w:val="3B2933F5"/>
    <w:rsid w:val="3B301F44"/>
    <w:rsid w:val="3B3140E6"/>
    <w:rsid w:val="3B5E2A01"/>
    <w:rsid w:val="3BA26D92"/>
    <w:rsid w:val="3BAE4829"/>
    <w:rsid w:val="3BD66A3C"/>
    <w:rsid w:val="3BDF73C5"/>
    <w:rsid w:val="3BFB1B9C"/>
    <w:rsid w:val="3C461E13"/>
    <w:rsid w:val="3C715C4F"/>
    <w:rsid w:val="3C722261"/>
    <w:rsid w:val="3CA00364"/>
    <w:rsid w:val="3D566086"/>
    <w:rsid w:val="3D7B470E"/>
    <w:rsid w:val="3D7C4A02"/>
    <w:rsid w:val="3D902D22"/>
    <w:rsid w:val="3D91487C"/>
    <w:rsid w:val="3DB72B15"/>
    <w:rsid w:val="3DD516A1"/>
    <w:rsid w:val="3DDD67A7"/>
    <w:rsid w:val="3DF4021A"/>
    <w:rsid w:val="3E047963"/>
    <w:rsid w:val="3E693B97"/>
    <w:rsid w:val="3E75253C"/>
    <w:rsid w:val="3E8E5BBA"/>
    <w:rsid w:val="3E9A1FA2"/>
    <w:rsid w:val="3EA451FF"/>
    <w:rsid w:val="3EB86069"/>
    <w:rsid w:val="3EDC10FF"/>
    <w:rsid w:val="3EE17BD1"/>
    <w:rsid w:val="3EF618CF"/>
    <w:rsid w:val="3F0A5E23"/>
    <w:rsid w:val="3F1104B7"/>
    <w:rsid w:val="3F4563B2"/>
    <w:rsid w:val="3F4E170B"/>
    <w:rsid w:val="3F785608"/>
    <w:rsid w:val="3FAA4409"/>
    <w:rsid w:val="3FC0669F"/>
    <w:rsid w:val="3FFF20F3"/>
    <w:rsid w:val="40104C12"/>
    <w:rsid w:val="402734A4"/>
    <w:rsid w:val="403326AF"/>
    <w:rsid w:val="405A4873"/>
    <w:rsid w:val="405C30EF"/>
    <w:rsid w:val="407B3EBF"/>
    <w:rsid w:val="40DF693D"/>
    <w:rsid w:val="40F16A8E"/>
    <w:rsid w:val="412545BE"/>
    <w:rsid w:val="41434B73"/>
    <w:rsid w:val="416309E9"/>
    <w:rsid w:val="4184340D"/>
    <w:rsid w:val="41E21275"/>
    <w:rsid w:val="41F1637D"/>
    <w:rsid w:val="42485A45"/>
    <w:rsid w:val="42A1447A"/>
    <w:rsid w:val="42CD2946"/>
    <w:rsid w:val="42D67AEC"/>
    <w:rsid w:val="42F14B77"/>
    <w:rsid w:val="42F6152E"/>
    <w:rsid w:val="42FF6CFF"/>
    <w:rsid w:val="434075BC"/>
    <w:rsid w:val="43771108"/>
    <w:rsid w:val="438C4E1A"/>
    <w:rsid w:val="43923B90"/>
    <w:rsid w:val="43C73FD2"/>
    <w:rsid w:val="43E268C5"/>
    <w:rsid w:val="43F32881"/>
    <w:rsid w:val="44071E88"/>
    <w:rsid w:val="4440126D"/>
    <w:rsid w:val="445F7604"/>
    <w:rsid w:val="446523D2"/>
    <w:rsid w:val="44DA0696"/>
    <w:rsid w:val="44E45943"/>
    <w:rsid w:val="44E80BF1"/>
    <w:rsid w:val="44F7490B"/>
    <w:rsid w:val="45010FCD"/>
    <w:rsid w:val="450E71B0"/>
    <w:rsid w:val="4583380E"/>
    <w:rsid w:val="45950612"/>
    <w:rsid w:val="45993146"/>
    <w:rsid w:val="459D73E9"/>
    <w:rsid w:val="45EB3538"/>
    <w:rsid w:val="45FF375F"/>
    <w:rsid w:val="46440499"/>
    <w:rsid w:val="465670F7"/>
    <w:rsid w:val="46623CEE"/>
    <w:rsid w:val="46771AC0"/>
    <w:rsid w:val="46916381"/>
    <w:rsid w:val="46D71FE6"/>
    <w:rsid w:val="46F34BEB"/>
    <w:rsid w:val="47217705"/>
    <w:rsid w:val="47487692"/>
    <w:rsid w:val="47867C8A"/>
    <w:rsid w:val="47954A4A"/>
    <w:rsid w:val="479B001B"/>
    <w:rsid w:val="47D21CE6"/>
    <w:rsid w:val="47E5272B"/>
    <w:rsid w:val="480D55EA"/>
    <w:rsid w:val="481456B4"/>
    <w:rsid w:val="482F7BFF"/>
    <w:rsid w:val="483F42E6"/>
    <w:rsid w:val="486A50DB"/>
    <w:rsid w:val="48857A46"/>
    <w:rsid w:val="48876507"/>
    <w:rsid w:val="48950E4A"/>
    <w:rsid w:val="48A14890"/>
    <w:rsid w:val="492B6619"/>
    <w:rsid w:val="49553696"/>
    <w:rsid w:val="4968161B"/>
    <w:rsid w:val="49695393"/>
    <w:rsid w:val="497711F7"/>
    <w:rsid w:val="49843F7B"/>
    <w:rsid w:val="49DB1DED"/>
    <w:rsid w:val="4A331C29"/>
    <w:rsid w:val="4A3B6D2F"/>
    <w:rsid w:val="4A4C0CEF"/>
    <w:rsid w:val="4A58168F"/>
    <w:rsid w:val="4A67403B"/>
    <w:rsid w:val="4A734E79"/>
    <w:rsid w:val="4A8F7F6C"/>
    <w:rsid w:val="4AC5489D"/>
    <w:rsid w:val="4AD27698"/>
    <w:rsid w:val="4AFB026D"/>
    <w:rsid w:val="4B1744BB"/>
    <w:rsid w:val="4B1B114F"/>
    <w:rsid w:val="4B250368"/>
    <w:rsid w:val="4B56143A"/>
    <w:rsid w:val="4B661B8A"/>
    <w:rsid w:val="4B7A75FA"/>
    <w:rsid w:val="4B7B52E3"/>
    <w:rsid w:val="4B7F6C9B"/>
    <w:rsid w:val="4BB01238"/>
    <w:rsid w:val="4BC863A1"/>
    <w:rsid w:val="4BF93ABC"/>
    <w:rsid w:val="4C2F1AF1"/>
    <w:rsid w:val="4C3F1A69"/>
    <w:rsid w:val="4C401A56"/>
    <w:rsid w:val="4C4C7D4D"/>
    <w:rsid w:val="4C692E82"/>
    <w:rsid w:val="4C974380"/>
    <w:rsid w:val="4CA7336B"/>
    <w:rsid w:val="4CBF59F6"/>
    <w:rsid w:val="4CD34FFD"/>
    <w:rsid w:val="4CD77841"/>
    <w:rsid w:val="4D001539"/>
    <w:rsid w:val="4D060FF1"/>
    <w:rsid w:val="4D28075F"/>
    <w:rsid w:val="4D3F6B37"/>
    <w:rsid w:val="4D5B5816"/>
    <w:rsid w:val="4D6138EC"/>
    <w:rsid w:val="4D714797"/>
    <w:rsid w:val="4D7809BA"/>
    <w:rsid w:val="4D820C8A"/>
    <w:rsid w:val="4D9F0EEA"/>
    <w:rsid w:val="4DC42464"/>
    <w:rsid w:val="4DCD7C9F"/>
    <w:rsid w:val="4DFD4561"/>
    <w:rsid w:val="4E3C4E24"/>
    <w:rsid w:val="4E5E2FEC"/>
    <w:rsid w:val="4E7F4223"/>
    <w:rsid w:val="4EE2777A"/>
    <w:rsid w:val="4EE65747"/>
    <w:rsid w:val="4F095D32"/>
    <w:rsid w:val="4F1A4882"/>
    <w:rsid w:val="4F286EC2"/>
    <w:rsid w:val="4F3C4DEC"/>
    <w:rsid w:val="4F4B0729"/>
    <w:rsid w:val="4F6D0EC1"/>
    <w:rsid w:val="4F711F6A"/>
    <w:rsid w:val="4FD23C92"/>
    <w:rsid w:val="4FD66230"/>
    <w:rsid w:val="4FFD0694"/>
    <w:rsid w:val="5047107E"/>
    <w:rsid w:val="504900D3"/>
    <w:rsid w:val="50566671"/>
    <w:rsid w:val="50731DF8"/>
    <w:rsid w:val="50F47C38"/>
    <w:rsid w:val="5108451B"/>
    <w:rsid w:val="511E4CB5"/>
    <w:rsid w:val="52195BA8"/>
    <w:rsid w:val="52892F5B"/>
    <w:rsid w:val="52950FA7"/>
    <w:rsid w:val="52BD438B"/>
    <w:rsid w:val="52D63A99"/>
    <w:rsid w:val="52F61709"/>
    <w:rsid w:val="53303E6F"/>
    <w:rsid w:val="53592ADA"/>
    <w:rsid w:val="536C094E"/>
    <w:rsid w:val="53726402"/>
    <w:rsid w:val="53746E0E"/>
    <w:rsid w:val="537D5CC3"/>
    <w:rsid w:val="54073585"/>
    <w:rsid w:val="54487E61"/>
    <w:rsid w:val="5449248C"/>
    <w:rsid w:val="547D1CF3"/>
    <w:rsid w:val="54995B0C"/>
    <w:rsid w:val="54C16083"/>
    <w:rsid w:val="54DB7C79"/>
    <w:rsid w:val="54E74E26"/>
    <w:rsid w:val="55124B31"/>
    <w:rsid w:val="55230AEC"/>
    <w:rsid w:val="55580A4D"/>
    <w:rsid w:val="55710580"/>
    <w:rsid w:val="55B45B96"/>
    <w:rsid w:val="55B856D8"/>
    <w:rsid w:val="55C3622E"/>
    <w:rsid w:val="55DC1770"/>
    <w:rsid w:val="55DD5CB4"/>
    <w:rsid w:val="55EB22AC"/>
    <w:rsid w:val="560E6B6C"/>
    <w:rsid w:val="561133F2"/>
    <w:rsid w:val="56270168"/>
    <w:rsid w:val="56571FFA"/>
    <w:rsid w:val="565A22EB"/>
    <w:rsid w:val="567102F5"/>
    <w:rsid w:val="568832FC"/>
    <w:rsid w:val="56A92CC7"/>
    <w:rsid w:val="56E542AB"/>
    <w:rsid w:val="57251268"/>
    <w:rsid w:val="57346FE0"/>
    <w:rsid w:val="57392849"/>
    <w:rsid w:val="573E7E5F"/>
    <w:rsid w:val="576D10A9"/>
    <w:rsid w:val="578E4942"/>
    <w:rsid w:val="57A2219C"/>
    <w:rsid w:val="57E36310"/>
    <w:rsid w:val="57EC78BB"/>
    <w:rsid w:val="583848AE"/>
    <w:rsid w:val="58555460"/>
    <w:rsid w:val="58BD10F2"/>
    <w:rsid w:val="58CD180F"/>
    <w:rsid w:val="58CD33C2"/>
    <w:rsid w:val="59396B30"/>
    <w:rsid w:val="595D5F78"/>
    <w:rsid w:val="59637709"/>
    <w:rsid w:val="596469D4"/>
    <w:rsid w:val="599B6EA3"/>
    <w:rsid w:val="59C503FE"/>
    <w:rsid w:val="59CC52AE"/>
    <w:rsid w:val="5A3B2434"/>
    <w:rsid w:val="5A435D8A"/>
    <w:rsid w:val="5A4C2893"/>
    <w:rsid w:val="5A7D2A4C"/>
    <w:rsid w:val="5AA47FD9"/>
    <w:rsid w:val="5AC16DDD"/>
    <w:rsid w:val="5B0CF2D3"/>
    <w:rsid w:val="5B6B0AF7"/>
    <w:rsid w:val="5B7B30F8"/>
    <w:rsid w:val="5B9B5880"/>
    <w:rsid w:val="5BBC1D09"/>
    <w:rsid w:val="5BD62414"/>
    <w:rsid w:val="5BDB3DE7"/>
    <w:rsid w:val="5C142F3C"/>
    <w:rsid w:val="5C1D44E7"/>
    <w:rsid w:val="5C34380B"/>
    <w:rsid w:val="5C4750C0"/>
    <w:rsid w:val="5C861BA5"/>
    <w:rsid w:val="5CFC6999"/>
    <w:rsid w:val="5D214953"/>
    <w:rsid w:val="5D63417B"/>
    <w:rsid w:val="5D8440F2"/>
    <w:rsid w:val="5D881E34"/>
    <w:rsid w:val="5D944335"/>
    <w:rsid w:val="5DCA41FA"/>
    <w:rsid w:val="5DD76917"/>
    <w:rsid w:val="5DF66D9E"/>
    <w:rsid w:val="5E092AEA"/>
    <w:rsid w:val="5E3E6996"/>
    <w:rsid w:val="5E4867AF"/>
    <w:rsid w:val="5E9842F9"/>
    <w:rsid w:val="5E9B0191"/>
    <w:rsid w:val="5EAC1B52"/>
    <w:rsid w:val="5EAD2E69"/>
    <w:rsid w:val="5EB31862"/>
    <w:rsid w:val="5F600C09"/>
    <w:rsid w:val="5F750196"/>
    <w:rsid w:val="5F773F0E"/>
    <w:rsid w:val="5F793927"/>
    <w:rsid w:val="5F881D84"/>
    <w:rsid w:val="5F912AC4"/>
    <w:rsid w:val="5F9E76ED"/>
    <w:rsid w:val="5FBC5DC5"/>
    <w:rsid w:val="5FD14724"/>
    <w:rsid w:val="602601A6"/>
    <w:rsid w:val="60387705"/>
    <w:rsid w:val="60583D40"/>
    <w:rsid w:val="606F72DB"/>
    <w:rsid w:val="60700F30"/>
    <w:rsid w:val="607B7DDA"/>
    <w:rsid w:val="60911000"/>
    <w:rsid w:val="60B82A30"/>
    <w:rsid w:val="60CE7B5E"/>
    <w:rsid w:val="60DB227B"/>
    <w:rsid w:val="6183303E"/>
    <w:rsid w:val="61A76748"/>
    <w:rsid w:val="61D71763"/>
    <w:rsid w:val="61E909C7"/>
    <w:rsid w:val="6227315C"/>
    <w:rsid w:val="626544F2"/>
    <w:rsid w:val="629372B1"/>
    <w:rsid w:val="62AC0373"/>
    <w:rsid w:val="62B731FE"/>
    <w:rsid w:val="62BD604E"/>
    <w:rsid w:val="62D41677"/>
    <w:rsid w:val="63023C80"/>
    <w:rsid w:val="631F6D97"/>
    <w:rsid w:val="636D3AA1"/>
    <w:rsid w:val="63A66B70"/>
    <w:rsid w:val="63E43B3C"/>
    <w:rsid w:val="63F57AF7"/>
    <w:rsid w:val="641A755E"/>
    <w:rsid w:val="64287EE0"/>
    <w:rsid w:val="642B52C7"/>
    <w:rsid w:val="643E324C"/>
    <w:rsid w:val="647924D6"/>
    <w:rsid w:val="64993ADB"/>
    <w:rsid w:val="64F22548"/>
    <w:rsid w:val="651641C9"/>
    <w:rsid w:val="651D7306"/>
    <w:rsid w:val="65216376"/>
    <w:rsid w:val="65516FAF"/>
    <w:rsid w:val="656062CA"/>
    <w:rsid w:val="659106E2"/>
    <w:rsid w:val="65AB236D"/>
    <w:rsid w:val="65B8080F"/>
    <w:rsid w:val="65EE77E3"/>
    <w:rsid w:val="65F55B8D"/>
    <w:rsid w:val="6603242F"/>
    <w:rsid w:val="66391F1D"/>
    <w:rsid w:val="66483EC5"/>
    <w:rsid w:val="665E7BD6"/>
    <w:rsid w:val="66704DB4"/>
    <w:rsid w:val="66B23A7E"/>
    <w:rsid w:val="66B617C0"/>
    <w:rsid w:val="66FF3B3B"/>
    <w:rsid w:val="67102453"/>
    <w:rsid w:val="67114C48"/>
    <w:rsid w:val="67265452"/>
    <w:rsid w:val="67332E10"/>
    <w:rsid w:val="675138C9"/>
    <w:rsid w:val="676A2905"/>
    <w:rsid w:val="67B8723F"/>
    <w:rsid w:val="67CB3049"/>
    <w:rsid w:val="68A67F29"/>
    <w:rsid w:val="68C15CCA"/>
    <w:rsid w:val="68D93544"/>
    <w:rsid w:val="691E49E3"/>
    <w:rsid w:val="692D45F0"/>
    <w:rsid w:val="694A2693"/>
    <w:rsid w:val="697D619C"/>
    <w:rsid w:val="69992F6F"/>
    <w:rsid w:val="69A753F0"/>
    <w:rsid w:val="69C87CDE"/>
    <w:rsid w:val="69EC54F9"/>
    <w:rsid w:val="69EE3D79"/>
    <w:rsid w:val="69F65299"/>
    <w:rsid w:val="6A0E091D"/>
    <w:rsid w:val="6A1637F1"/>
    <w:rsid w:val="6A1862EE"/>
    <w:rsid w:val="6A5277AD"/>
    <w:rsid w:val="6A5F3F1C"/>
    <w:rsid w:val="6ABA50AD"/>
    <w:rsid w:val="6AD45E72"/>
    <w:rsid w:val="6B4A0729"/>
    <w:rsid w:val="6B58725B"/>
    <w:rsid w:val="6B930322"/>
    <w:rsid w:val="6BA94127"/>
    <w:rsid w:val="6BB169FA"/>
    <w:rsid w:val="6BB87D88"/>
    <w:rsid w:val="6BE8335D"/>
    <w:rsid w:val="6BFE46EA"/>
    <w:rsid w:val="6C4C227F"/>
    <w:rsid w:val="6C7F53F2"/>
    <w:rsid w:val="6C8B20CC"/>
    <w:rsid w:val="6C95A85E"/>
    <w:rsid w:val="6CB73B9C"/>
    <w:rsid w:val="6CE16E6B"/>
    <w:rsid w:val="6CEF5734"/>
    <w:rsid w:val="6CFC1EF7"/>
    <w:rsid w:val="6D7221B9"/>
    <w:rsid w:val="6D7777CF"/>
    <w:rsid w:val="6DAF372B"/>
    <w:rsid w:val="6DCA5B51"/>
    <w:rsid w:val="6E054DDB"/>
    <w:rsid w:val="6E26667B"/>
    <w:rsid w:val="6E8834E3"/>
    <w:rsid w:val="6EF02CBF"/>
    <w:rsid w:val="6F053873"/>
    <w:rsid w:val="6F1ECFF8"/>
    <w:rsid w:val="6F3C11A1"/>
    <w:rsid w:val="6F675D4D"/>
    <w:rsid w:val="6F6B536A"/>
    <w:rsid w:val="6FD44A65"/>
    <w:rsid w:val="6FE70842"/>
    <w:rsid w:val="6FE85E03"/>
    <w:rsid w:val="6FF17162"/>
    <w:rsid w:val="704217E5"/>
    <w:rsid w:val="704A2F79"/>
    <w:rsid w:val="70785D38"/>
    <w:rsid w:val="70832714"/>
    <w:rsid w:val="70C96594"/>
    <w:rsid w:val="70CB40BA"/>
    <w:rsid w:val="70CD6084"/>
    <w:rsid w:val="71106C43"/>
    <w:rsid w:val="71152000"/>
    <w:rsid w:val="711F61B4"/>
    <w:rsid w:val="717B5AE0"/>
    <w:rsid w:val="719C7877"/>
    <w:rsid w:val="71BC1C54"/>
    <w:rsid w:val="721756F7"/>
    <w:rsid w:val="721B354C"/>
    <w:rsid w:val="7231680E"/>
    <w:rsid w:val="724265FE"/>
    <w:rsid w:val="724874A4"/>
    <w:rsid w:val="72896870"/>
    <w:rsid w:val="72A526E9"/>
    <w:rsid w:val="72B8241C"/>
    <w:rsid w:val="72BB7781"/>
    <w:rsid w:val="7306587D"/>
    <w:rsid w:val="736F3422"/>
    <w:rsid w:val="7392107F"/>
    <w:rsid w:val="74123DAE"/>
    <w:rsid w:val="746F1200"/>
    <w:rsid w:val="749C38ED"/>
    <w:rsid w:val="74E4399C"/>
    <w:rsid w:val="7500577B"/>
    <w:rsid w:val="750872E0"/>
    <w:rsid w:val="75093403"/>
    <w:rsid w:val="75493BC8"/>
    <w:rsid w:val="754B3A1B"/>
    <w:rsid w:val="75C86E1A"/>
    <w:rsid w:val="75E67B42"/>
    <w:rsid w:val="7603212B"/>
    <w:rsid w:val="76326989"/>
    <w:rsid w:val="7656661E"/>
    <w:rsid w:val="7682346D"/>
    <w:rsid w:val="769C3F62"/>
    <w:rsid w:val="76D90BB3"/>
    <w:rsid w:val="76ED37EF"/>
    <w:rsid w:val="76F0011C"/>
    <w:rsid w:val="770F21D1"/>
    <w:rsid w:val="77EF4493"/>
    <w:rsid w:val="78542BE7"/>
    <w:rsid w:val="786C747B"/>
    <w:rsid w:val="78A7019A"/>
    <w:rsid w:val="78C06712"/>
    <w:rsid w:val="79002D6F"/>
    <w:rsid w:val="79142376"/>
    <w:rsid w:val="796B51A8"/>
    <w:rsid w:val="797D526C"/>
    <w:rsid w:val="79951709"/>
    <w:rsid w:val="79BA3B0E"/>
    <w:rsid w:val="79E1716A"/>
    <w:rsid w:val="7A401675"/>
    <w:rsid w:val="7ABB6962"/>
    <w:rsid w:val="7AC94EC1"/>
    <w:rsid w:val="7AE55A9A"/>
    <w:rsid w:val="7AF4539C"/>
    <w:rsid w:val="7B22521E"/>
    <w:rsid w:val="7B9D2AF7"/>
    <w:rsid w:val="7BA75723"/>
    <w:rsid w:val="7C013D85"/>
    <w:rsid w:val="7C0F7DAC"/>
    <w:rsid w:val="7C2F8C70"/>
    <w:rsid w:val="7C662C4B"/>
    <w:rsid w:val="7CA57EB5"/>
    <w:rsid w:val="7CF35D84"/>
    <w:rsid w:val="7D0F17D2"/>
    <w:rsid w:val="7D204FBF"/>
    <w:rsid w:val="7D4A45B8"/>
    <w:rsid w:val="7D6B2EAC"/>
    <w:rsid w:val="7D741635"/>
    <w:rsid w:val="7DB40A20"/>
    <w:rsid w:val="7DDF36B2"/>
    <w:rsid w:val="7E136A50"/>
    <w:rsid w:val="7E1C7D03"/>
    <w:rsid w:val="7E49765A"/>
    <w:rsid w:val="7E4C0FEB"/>
    <w:rsid w:val="7EB10D93"/>
    <w:rsid w:val="7EBB50F1"/>
    <w:rsid w:val="7EBE0C5A"/>
    <w:rsid w:val="7ECB797B"/>
    <w:rsid w:val="7EE56270"/>
    <w:rsid w:val="7EFB3C47"/>
    <w:rsid w:val="7EFE565A"/>
    <w:rsid w:val="7F7F569C"/>
    <w:rsid w:val="7F7F68A4"/>
    <w:rsid w:val="7F850ECB"/>
    <w:rsid w:val="7F9F1736"/>
    <w:rsid w:val="7FB81CAD"/>
    <w:rsid w:val="7FD31A01"/>
    <w:rsid w:val="7FFB101A"/>
    <w:rsid w:val="7FFC4290"/>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2"/>
    <w:qFormat/>
    <w:uiPriority w:val="9"/>
    <w:pPr>
      <w:keepNext/>
      <w:outlineLvl w:val="0"/>
    </w:pPr>
    <w:rPr>
      <w:sz w:val="28"/>
      <w:szCs w:val="24"/>
    </w:rPr>
  </w:style>
  <w:style w:type="paragraph" w:styleId="3">
    <w:name w:val="heading 2"/>
    <w:basedOn w:val="1"/>
    <w:next w:val="1"/>
    <w:link w:val="53"/>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4"/>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56"/>
    <w:qFormat/>
    <w:uiPriority w:val="0"/>
    <w:pPr>
      <w:keepNext/>
      <w:outlineLvl w:val="4"/>
    </w:pPr>
    <w:rPr>
      <w:rFonts w:ascii="宋体" w:hAnsi="Arial"/>
      <w:bCs/>
      <w:sz w:val="28"/>
    </w:rPr>
  </w:style>
  <w:style w:type="paragraph" w:styleId="7">
    <w:name w:val="heading 6"/>
    <w:basedOn w:val="1"/>
    <w:next w:val="1"/>
    <w:link w:val="57"/>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8">
    <w:name w:val="heading 7"/>
    <w:basedOn w:val="1"/>
    <w:next w:val="1"/>
    <w:link w:val="58"/>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9">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10">
    <w:name w:val="toc 7"/>
    <w:basedOn w:val="1"/>
    <w:next w:val="1"/>
    <w:qFormat/>
    <w:uiPriority w:val="0"/>
    <w:pPr>
      <w:ind w:left="2520" w:leftChars="1200"/>
    </w:pPr>
  </w:style>
  <w:style w:type="paragraph" w:styleId="11">
    <w:name w:val="Document Map"/>
    <w:basedOn w:val="1"/>
    <w:link w:val="60"/>
    <w:qFormat/>
    <w:uiPriority w:val="0"/>
    <w:pPr>
      <w:shd w:val="clear" w:color="auto" w:fill="000080"/>
    </w:pPr>
  </w:style>
  <w:style w:type="paragraph" w:styleId="12">
    <w:name w:val="annotation text"/>
    <w:basedOn w:val="1"/>
    <w:link w:val="61"/>
    <w:semiHidden/>
    <w:qFormat/>
    <w:uiPriority w:val="0"/>
    <w:pPr>
      <w:jc w:val="left"/>
    </w:pPr>
  </w:style>
  <w:style w:type="paragraph" w:styleId="13">
    <w:name w:val="Body Text 3"/>
    <w:basedOn w:val="1"/>
    <w:link w:val="62"/>
    <w:unhideWhenUsed/>
    <w:qFormat/>
    <w:uiPriority w:val="0"/>
    <w:pPr>
      <w:spacing w:after="120"/>
    </w:pPr>
    <w:rPr>
      <w:rFonts w:ascii="Calibri" w:hAnsi="Calibri"/>
      <w:sz w:val="16"/>
      <w:szCs w:val="16"/>
      <w:lang w:val="zh-CN"/>
    </w:rPr>
  </w:style>
  <w:style w:type="paragraph" w:styleId="14">
    <w:name w:val="Body Text"/>
    <w:basedOn w:val="1"/>
    <w:next w:val="15"/>
    <w:link w:val="63"/>
    <w:qFormat/>
    <w:uiPriority w:val="0"/>
    <w:pPr>
      <w:spacing w:after="120"/>
    </w:pPr>
    <w:rPr>
      <w:szCs w:val="24"/>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6">
    <w:name w:val="Body Text Indent"/>
    <w:basedOn w:val="1"/>
    <w:next w:val="17"/>
    <w:link w:val="64"/>
    <w:qFormat/>
    <w:uiPriority w:val="0"/>
    <w:pPr>
      <w:ind w:firstLine="540"/>
    </w:pPr>
    <w:rPr>
      <w:rFonts w:eastAsia="仿宋_GB2312"/>
      <w:sz w:val="28"/>
    </w:rPr>
  </w:style>
  <w:style w:type="paragraph" w:styleId="17">
    <w:name w:val="envelope return"/>
    <w:basedOn w:val="1"/>
    <w:qFormat/>
    <w:uiPriority w:val="0"/>
    <w:pPr>
      <w:snapToGrid w:val="0"/>
    </w:pPr>
    <w:rPr>
      <w:rFonts w:ascii="Arial" w:hAnsi="Arial"/>
    </w:rPr>
  </w:style>
  <w:style w:type="paragraph" w:styleId="18">
    <w:name w:val="List 2"/>
    <w:basedOn w:val="1"/>
    <w:qFormat/>
    <w:uiPriority w:val="0"/>
    <w:pPr>
      <w:ind w:left="100" w:leftChars="200" w:hanging="200" w:hangingChars="200"/>
    </w:pPr>
    <w:rPr>
      <w:rFonts w:ascii="黑体" w:hAnsi="Calibri" w:eastAsia="仿宋_GB2312"/>
      <w:sz w:val="32"/>
      <w:szCs w:val="32"/>
    </w:rPr>
  </w:style>
  <w:style w:type="paragraph" w:styleId="19">
    <w:name w:val="toc 5"/>
    <w:basedOn w:val="1"/>
    <w:next w:val="1"/>
    <w:qFormat/>
    <w:uiPriority w:val="0"/>
    <w:pPr>
      <w:ind w:left="1680" w:leftChars="800"/>
    </w:pPr>
  </w:style>
  <w:style w:type="paragraph" w:styleId="20">
    <w:name w:val="toc 3"/>
    <w:basedOn w:val="1"/>
    <w:next w:val="1"/>
    <w:qFormat/>
    <w:uiPriority w:val="39"/>
    <w:pPr>
      <w:ind w:left="840" w:leftChars="400"/>
    </w:pPr>
  </w:style>
  <w:style w:type="paragraph" w:styleId="21">
    <w:name w:val="Plain Text"/>
    <w:basedOn w:val="1"/>
    <w:link w:val="65"/>
    <w:qFormat/>
    <w:uiPriority w:val="0"/>
    <w:rPr>
      <w:rFonts w:ascii="宋体" w:hAnsi="Courier New" w:cs="Times New Roman"/>
      <w:szCs w:val="22"/>
    </w:rPr>
  </w:style>
  <w:style w:type="paragraph" w:styleId="22">
    <w:name w:val="toc 8"/>
    <w:basedOn w:val="1"/>
    <w:next w:val="1"/>
    <w:qFormat/>
    <w:uiPriority w:val="0"/>
    <w:pPr>
      <w:ind w:left="2940" w:leftChars="1400"/>
    </w:pPr>
  </w:style>
  <w:style w:type="paragraph" w:styleId="23">
    <w:name w:val="Date"/>
    <w:basedOn w:val="1"/>
    <w:next w:val="1"/>
    <w:link w:val="66"/>
    <w:qFormat/>
    <w:uiPriority w:val="0"/>
    <w:rPr>
      <w:rFonts w:ascii="Arial" w:hAnsi="Arial" w:eastAsia="楷体_GB2312"/>
      <w:sz w:val="28"/>
    </w:rPr>
  </w:style>
  <w:style w:type="paragraph" w:styleId="24">
    <w:name w:val="Body Text Indent 2"/>
    <w:basedOn w:val="1"/>
    <w:link w:val="67"/>
    <w:qFormat/>
    <w:uiPriority w:val="0"/>
    <w:pPr>
      <w:tabs>
        <w:tab w:val="left" w:pos="720"/>
      </w:tabs>
      <w:ind w:right="-506" w:rightChars="-241" w:firstLine="538" w:firstLineChars="192"/>
    </w:pPr>
    <w:rPr>
      <w:rFonts w:eastAsia="仿宋_GB2312"/>
      <w:sz w:val="28"/>
    </w:rPr>
  </w:style>
  <w:style w:type="paragraph" w:styleId="25">
    <w:name w:val="Balloon Text"/>
    <w:basedOn w:val="1"/>
    <w:link w:val="68"/>
    <w:qFormat/>
    <w:uiPriority w:val="99"/>
    <w:rPr>
      <w:sz w:val="18"/>
      <w:szCs w:val="18"/>
    </w:rPr>
  </w:style>
  <w:style w:type="paragraph" w:styleId="26">
    <w:name w:val="footer"/>
    <w:basedOn w:val="1"/>
    <w:link w:val="69"/>
    <w:unhideWhenUsed/>
    <w:qFormat/>
    <w:uiPriority w:val="99"/>
    <w:pPr>
      <w:tabs>
        <w:tab w:val="center" w:pos="4153"/>
        <w:tab w:val="right" w:pos="8306"/>
      </w:tabs>
      <w:snapToGrid w:val="0"/>
      <w:jc w:val="left"/>
    </w:pPr>
    <w:rPr>
      <w:sz w:val="18"/>
      <w:szCs w:val="18"/>
    </w:rPr>
  </w:style>
  <w:style w:type="paragraph" w:styleId="27">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1260" w:leftChars="600"/>
    </w:pPr>
  </w:style>
  <w:style w:type="paragraph" w:styleId="30">
    <w:name w:val="toc 6"/>
    <w:basedOn w:val="1"/>
    <w:next w:val="1"/>
    <w:qFormat/>
    <w:uiPriority w:val="0"/>
    <w:pPr>
      <w:ind w:left="2100" w:leftChars="1000"/>
    </w:pPr>
  </w:style>
  <w:style w:type="paragraph" w:styleId="31">
    <w:name w:val="Body Text Indent 3"/>
    <w:basedOn w:val="1"/>
    <w:link w:val="71"/>
    <w:qFormat/>
    <w:uiPriority w:val="0"/>
    <w:pPr>
      <w:ind w:left="178" w:leftChars="85" w:firstLine="560" w:firstLineChars="200"/>
    </w:pPr>
    <w:rPr>
      <w:rFonts w:ascii="仿宋_GB2312" w:hAnsi="Arial" w:eastAsia="仿宋_GB2312"/>
      <w:sz w:val="28"/>
      <w:szCs w:val="24"/>
    </w:rPr>
  </w:style>
  <w:style w:type="paragraph" w:styleId="32">
    <w:name w:val="toc 2"/>
    <w:basedOn w:val="1"/>
    <w:next w:val="1"/>
    <w:qFormat/>
    <w:uiPriority w:val="39"/>
    <w:pPr>
      <w:ind w:left="420" w:leftChars="200"/>
    </w:pPr>
  </w:style>
  <w:style w:type="paragraph" w:styleId="33">
    <w:name w:val="toc 9"/>
    <w:basedOn w:val="1"/>
    <w:next w:val="1"/>
    <w:qFormat/>
    <w:uiPriority w:val="0"/>
    <w:pPr>
      <w:ind w:left="3360" w:leftChars="1600"/>
    </w:pPr>
  </w:style>
  <w:style w:type="paragraph" w:styleId="34">
    <w:name w:val="Body Text 2"/>
    <w:basedOn w:val="1"/>
    <w:link w:val="72"/>
    <w:qFormat/>
    <w:uiPriority w:val="0"/>
    <w:rPr>
      <w:rFonts w:ascii="仿宋_GB2312" w:eastAsia="仿宋_GB2312"/>
      <w:b/>
      <w:sz w:val="24"/>
    </w:rPr>
  </w:style>
  <w:style w:type="paragraph" w:styleId="3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6">
    <w:name w:val="Normal (Web)"/>
    <w:basedOn w:val="1"/>
    <w:unhideWhenUsed/>
    <w:qFormat/>
    <w:uiPriority w:val="0"/>
    <w:pPr>
      <w:jc w:val="left"/>
    </w:pPr>
    <w:rPr>
      <w:kern w:val="0"/>
      <w:sz w:val="24"/>
    </w:rPr>
  </w:style>
  <w:style w:type="paragraph" w:styleId="37">
    <w:name w:val="index 1"/>
    <w:basedOn w:val="1"/>
    <w:next w:val="1"/>
    <w:qFormat/>
    <w:uiPriority w:val="0"/>
    <w:pPr>
      <w:jc w:val="center"/>
    </w:pPr>
    <w:rPr>
      <w:rFonts w:ascii="仿宋_GB2312" w:eastAsia="仿宋_GB2312"/>
      <w:b/>
      <w:bCs/>
      <w:sz w:val="28"/>
    </w:rPr>
  </w:style>
  <w:style w:type="paragraph" w:styleId="38">
    <w:name w:val="Title"/>
    <w:basedOn w:val="1"/>
    <w:next w:val="1"/>
    <w:link w:val="73"/>
    <w:qFormat/>
    <w:uiPriority w:val="0"/>
    <w:pPr>
      <w:spacing w:before="240" w:after="60"/>
      <w:jc w:val="center"/>
      <w:outlineLvl w:val="0"/>
    </w:pPr>
    <w:rPr>
      <w:rFonts w:ascii="Cambria" w:hAnsi="Cambria"/>
      <w:b/>
      <w:bCs/>
      <w:sz w:val="32"/>
      <w:szCs w:val="32"/>
    </w:rPr>
  </w:style>
  <w:style w:type="paragraph" w:styleId="39">
    <w:name w:val="annotation subject"/>
    <w:basedOn w:val="12"/>
    <w:next w:val="12"/>
    <w:link w:val="74"/>
    <w:semiHidden/>
    <w:qFormat/>
    <w:uiPriority w:val="0"/>
    <w:rPr>
      <w:b/>
      <w:bCs/>
    </w:rPr>
  </w:style>
  <w:style w:type="paragraph" w:styleId="40">
    <w:name w:val="Body Text First Indent"/>
    <w:basedOn w:val="14"/>
    <w:link w:val="75"/>
    <w:unhideWhenUsed/>
    <w:qFormat/>
    <w:uiPriority w:val="0"/>
    <w:pPr>
      <w:spacing w:line="400" w:lineRule="atLeast"/>
      <w:ind w:firstLine="426"/>
    </w:pPr>
    <w:rPr>
      <w:sz w:val="24"/>
      <w:szCs w:val="20"/>
    </w:rPr>
  </w:style>
  <w:style w:type="paragraph" w:styleId="41">
    <w:name w:val="Body Text First Indent 2"/>
    <w:basedOn w:val="16"/>
    <w:next w:val="42"/>
    <w:link w:val="76"/>
    <w:qFormat/>
    <w:uiPriority w:val="0"/>
    <w:pPr>
      <w:spacing w:after="120"/>
      <w:ind w:left="420" w:leftChars="200" w:firstLine="420" w:firstLineChars="200"/>
    </w:pPr>
    <w:rPr>
      <w:rFonts w:eastAsia="宋体"/>
      <w:sz w:val="21"/>
    </w:rPr>
  </w:style>
  <w:style w:type="paragraph" w:customStyle="1" w:styleId="42">
    <w:name w:val="toc 511"/>
    <w:next w:val="1"/>
    <w:qFormat/>
    <w:uiPriority w:val="0"/>
    <w:pPr>
      <w:wordWrap w:val="0"/>
      <w:ind w:left="1700"/>
      <w:jc w:val="both"/>
    </w:pPr>
    <w:rPr>
      <w:rFonts w:ascii="Times New Roman" w:hAnsi="Times New Roman" w:eastAsia="宋体" w:cs="Times New Roman"/>
      <w:sz w:val="21"/>
      <w:lang w:val="en-US" w:eastAsia="zh-CN" w:bidi="ar-SA"/>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rPr>
  </w:style>
  <w:style w:type="character" w:styleId="47">
    <w:name w:val="page number"/>
    <w:basedOn w:val="45"/>
    <w:qFormat/>
    <w:uiPriority w:val="0"/>
  </w:style>
  <w:style w:type="character" w:styleId="48">
    <w:name w:val="FollowedHyperlink"/>
    <w:unhideWhenUsed/>
    <w:qFormat/>
    <w:uiPriority w:val="0"/>
    <w:rPr>
      <w:color w:val="954F72"/>
      <w:u w:val="single"/>
    </w:rPr>
  </w:style>
  <w:style w:type="character" w:styleId="49">
    <w:name w:val="Emphasis"/>
    <w:qFormat/>
    <w:uiPriority w:val="0"/>
    <w:rPr>
      <w:color w:val="CC0033"/>
    </w:rPr>
  </w:style>
  <w:style w:type="character" w:styleId="50">
    <w:name w:val="Hyperlink"/>
    <w:qFormat/>
    <w:uiPriority w:val="99"/>
    <w:rPr>
      <w:color w:val="333333"/>
      <w:u w:val="none"/>
    </w:rPr>
  </w:style>
  <w:style w:type="character" w:styleId="51">
    <w:name w:val="annotation reference"/>
    <w:semiHidden/>
    <w:qFormat/>
    <w:uiPriority w:val="0"/>
    <w:rPr>
      <w:sz w:val="21"/>
      <w:szCs w:val="21"/>
    </w:rPr>
  </w:style>
  <w:style w:type="character" w:customStyle="1" w:styleId="52">
    <w:name w:val="标题 1 字符"/>
    <w:link w:val="2"/>
    <w:qFormat/>
    <w:uiPriority w:val="9"/>
    <w:rPr>
      <w:rFonts w:ascii="Times New Roman" w:hAnsi="Times New Roman" w:eastAsia="宋体" w:cs="Times New Roman"/>
      <w:sz w:val="28"/>
      <w:szCs w:val="24"/>
    </w:rPr>
  </w:style>
  <w:style w:type="character" w:customStyle="1" w:styleId="53">
    <w:name w:val="标题 2 字符"/>
    <w:link w:val="3"/>
    <w:qFormat/>
    <w:uiPriority w:val="0"/>
    <w:rPr>
      <w:rFonts w:ascii="Arial" w:hAnsi="Arial" w:eastAsia="黑体"/>
      <w:b/>
      <w:bCs/>
      <w:sz w:val="32"/>
      <w:szCs w:val="32"/>
    </w:rPr>
  </w:style>
  <w:style w:type="character" w:customStyle="1" w:styleId="54">
    <w:name w:val="标题 3 字符"/>
    <w:link w:val="4"/>
    <w:qFormat/>
    <w:uiPriority w:val="0"/>
    <w:rPr>
      <w:rFonts w:ascii="Times New Roman" w:hAnsi="Times New Roman" w:eastAsia="宋体" w:cs="Times New Roman"/>
      <w:b/>
      <w:bCs/>
      <w:sz w:val="32"/>
      <w:szCs w:val="32"/>
      <w:lang w:val="zh-CN" w:eastAsia="zh-CN"/>
    </w:rPr>
  </w:style>
  <w:style w:type="character" w:customStyle="1" w:styleId="55">
    <w:name w:val="标题 4 字符"/>
    <w:link w:val="5"/>
    <w:qFormat/>
    <w:uiPriority w:val="0"/>
    <w:rPr>
      <w:rFonts w:ascii="Arial" w:hAnsi="Arial" w:eastAsia="黑体" w:cs="Times New Roman"/>
      <w:b/>
      <w:kern w:val="0"/>
      <w:sz w:val="28"/>
      <w:szCs w:val="20"/>
    </w:rPr>
  </w:style>
  <w:style w:type="character" w:customStyle="1" w:styleId="56">
    <w:name w:val="标题 5 字符"/>
    <w:link w:val="6"/>
    <w:qFormat/>
    <w:uiPriority w:val="0"/>
    <w:rPr>
      <w:rFonts w:ascii="宋体" w:hAnsi="Arial"/>
      <w:bCs/>
      <w:kern w:val="2"/>
      <w:sz w:val="28"/>
    </w:rPr>
  </w:style>
  <w:style w:type="character" w:customStyle="1" w:styleId="57">
    <w:name w:val="标题 6 字符"/>
    <w:link w:val="7"/>
    <w:qFormat/>
    <w:uiPriority w:val="0"/>
    <w:rPr>
      <w:rFonts w:ascii="宋体" w:hAnsi="宋体"/>
      <w:sz w:val="28"/>
    </w:rPr>
  </w:style>
  <w:style w:type="character" w:customStyle="1" w:styleId="58">
    <w:name w:val="标题 7 字符"/>
    <w:link w:val="8"/>
    <w:qFormat/>
    <w:uiPriority w:val="0"/>
    <w:rPr>
      <w:rFonts w:ascii="Arial" w:hAnsi="Arial" w:eastAsia="仿宋_GB2312" w:cs="Arial"/>
      <w:b/>
      <w:bCs/>
      <w:spacing w:val="-4"/>
      <w:kern w:val="2"/>
      <w:sz w:val="24"/>
      <w:szCs w:val="24"/>
    </w:rPr>
  </w:style>
  <w:style w:type="character" w:customStyle="1" w:styleId="59">
    <w:name w:val="标题 8 字符"/>
    <w:link w:val="9"/>
    <w:qFormat/>
    <w:uiPriority w:val="0"/>
    <w:rPr>
      <w:rFonts w:ascii="Arial" w:hAnsi="Arial" w:eastAsia="黑体"/>
      <w:kern w:val="2"/>
      <w:sz w:val="24"/>
      <w:szCs w:val="24"/>
    </w:rPr>
  </w:style>
  <w:style w:type="character" w:customStyle="1" w:styleId="60">
    <w:name w:val="文档结构图 字符"/>
    <w:link w:val="11"/>
    <w:qFormat/>
    <w:uiPriority w:val="0"/>
    <w:rPr>
      <w:rFonts w:ascii="Times New Roman" w:hAnsi="Times New Roman" w:eastAsia="宋体" w:cs="Times New Roman"/>
      <w:szCs w:val="20"/>
      <w:shd w:val="clear" w:color="auto" w:fill="000080"/>
    </w:rPr>
  </w:style>
  <w:style w:type="character" w:customStyle="1" w:styleId="61">
    <w:name w:val="批注文字 字符"/>
    <w:link w:val="12"/>
    <w:semiHidden/>
    <w:qFormat/>
    <w:uiPriority w:val="0"/>
    <w:rPr>
      <w:rFonts w:ascii="Times New Roman" w:hAnsi="Times New Roman" w:eastAsia="宋体" w:cs="Times New Roman"/>
      <w:szCs w:val="20"/>
    </w:rPr>
  </w:style>
  <w:style w:type="character" w:customStyle="1" w:styleId="62">
    <w:name w:val="正文文本 3 字符"/>
    <w:link w:val="13"/>
    <w:qFormat/>
    <w:uiPriority w:val="0"/>
    <w:rPr>
      <w:rFonts w:ascii="Calibri" w:hAnsi="Calibri" w:eastAsia="宋体" w:cs="Times New Roman"/>
      <w:sz w:val="16"/>
      <w:szCs w:val="16"/>
      <w:lang w:val="zh-CN" w:eastAsia="zh-CN"/>
    </w:rPr>
  </w:style>
  <w:style w:type="character" w:customStyle="1" w:styleId="63">
    <w:name w:val="正文文本 字符"/>
    <w:link w:val="14"/>
    <w:qFormat/>
    <w:uiPriority w:val="99"/>
    <w:rPr>
      <w:rFonts w:ascii="Times New Roman" w:hAnsi="Times New Roman" w:eastAsia="宋体" w:cs="Times New Roman"/>
      <w:szCs w:val="24"/>
    </w:rPr>
  </w:style>
  <w:style w:type="character" w:customStyle="1" w:styleId="64">
    <w:name w:val="正文文本缩进 字符"/>
    <w:link w:val="16"/>
    <w:qFormat/>
    <w:uiPriority w:val="0"/>
    <w:rPr>
      <w:rFonts w:ascii="Times New Roman" w:hAnsi="Times New Roman" w:eastAsia="仿宋_GB2312" w:cs="Times New Roman"/>
      <w:sz w:val="28"/>
      <w:szCs w:val="20"/>
    </w:rPr>
  </w:style>
  <w:style w:type="character" w:customStyle="1" w:styleId="65">
    <w:name w:val="纯文本 字符"/>
    <w:link w:val="21"/>
    <w:qFormat/>
    <w:uiPriority w:val="0"/>
    <w:rPr>
      <w:rFonts w:ascii="宋体" w:hAnsi="Courier New" w:eastAsia="宋体"/>
    </w:rPr>
  </w:style>
  <w:style w:type="character" w:customStyle="1" w:styleId="66">
    <w:name w:val="日期 字符"/>
    <w:link w:val="23"/>
    <w:qFormat/>
    <w:uiPriority w:val="0"/>
    <w:rPr>
      <w:rFonts w:ascii="Arial" w:hAnsi="Arial" w:eastAsia="楷体_GB2312" w:cs="Times New Roman"/>
      <w:sz w:val="28"/>
      <w:szCs w:val="20"/>
    </w:rPr>
  </w:style>
  <w:style w:type="character" w:customStyle="1" w:styleId="67">
    <w:name w:val="正文文本缩进 2 字符"/>
    <w:link w:val="24"/>
    <w:qFormat/>
    <w:uiPriority w:val="0"/>
    <w:rPr>
      <w:rFonts w:ascii="Times New Roman" w:hAnsi="Times New Roman" w:eastAsia="仿宋_GB2312" w:cs="Times New Roman"/>
      <w:sz w:val="28"/>
      <w:szCs w:val="20"/>
    </w:rPr>
  </w:style>
  <w:style w:type="character" w:customStyle="1" w:styleId="68">
    <w:name w:val="批注框文本 字符"/>
    <w:link w:val="25"/>
    <w:qFormat/>
    <w:uiPriority w:val="99"/>
    <w:rPr>
      <w:rFonts w:ascii="Times New Roman" w:hAnsi="Times New Roman" w:eastAsia="宋体" w:cs="Times New Roman"/>
      <w:sz w:val="18"/>
      <w:szCs w:val="18"/>
    </w:rPr>
  </w:style>
  <w:style w:type="character" w:customStyle="1" w:styleId="69">
    <w:name w:val="页脚 字符"/>
    <w:link w:val="26"/>
    <w:qFormat/>
    <w:uiPriority w:val="99"/>
    <w:rPr>
      <w:sz w:val="18"/>
      <w:szCs w:val="18"/>
    </w:rPr>
  </w:style>
  <w:style w:type="character" w:customStyle="1" w:styleId="70">
    <w:name w:val="页眉 字符"/>
    <w:link w:val="27"/>
    <w:qFormat/>
    <w:uiPriority w:val="99"/>
    <w:rPr>
      <w:sz w:val="18"/>
      <w:szCs w:val="18"/>
    </w:rPr>
  </w:style>
  <w:style w:type="character" w:customStyle="1" w:styleId="71">
    <w:name w:val="正文文本缩进 3 字符"/>
    <w:link w:val="31"/>
    <w:qFormat/>
    <w:uiPriority w:val="0"/>
    <w:rPr>
      <w:rFonts w:ascii="仿宋_GB2312" w:hAnsi="Arial" w:eastAsia="仿宋_GB2312" w:cs="Times New Roman"/>
      <w:sz w:val="28"/>
      <w:szCs w:val="24"/>
    </w:rPr>
  </w:style>
  <w:style w:type="character" w:customStyle="1" w:styleId="72">
    <w:name w:val="正文文本 2 字符"/>
    <w:link w:val="34"/>
    <w:qFormat/>
    <w:uiPriority w:val="0"/>
    <w:rPr>
      <w:rFonts w:ascii="仿宋_GB2312" w:hAnsi="Times New Roman" w:eastAsia="仿宋_GB2312"/>
      <w:b/>
      <w:kern w:val="2"/>
      <w:sz w:val="24"/>
    </w:rPr>
  </w:style>
  <w:style w:type="character" w:customStyle="1" w:styleId="73">
    <w:name w:val="标题 字符"/>
    <w:link w:val="38"/>
    <w:qFormat/>
    <w:uiPriority w:val="0"/>
    <w:rPr>
      <w:rFonts w:ascii="Cambria" w:hAnsi="Cambria"/>
      <w:b/>
      <w:bCs/>
      <w:kern w:val="2"/>
      <w:sz w:val="32"/>
      <w:szCs w:val="32"/>
    </w:rPr>
  </w:style>
  <w:style w:type="character" w:customStyle="1" w:styleId="74">
    <w:name w:val="批注主题 字符"/>
    <w:link w:val="39"/>
    <w:semiHidden/>
    <w:qFormat/>
    <w:uiPriority w:val="99"/>
    <w:rPr>
      <w:rFonts w:ascii="Times New Roman" w:hAnsi="Times New Roman" w:eastAsia="宋体" w:cs="Times New Roman"/>
      <w:b/>
      <w:bCs/>
      <w:szCs w:val="20"/>
    </w:rPr>
  </w:style>
  <w:style w:type="character" w:customStyle="1" w:styleId="75">
    <w:name w:val="正文文本首行缩进 字符"/>
    <w:link w:val="40"/>
    <w:qFormat/>
    <w:uiPriority w:val="0"/>
    <w:rPr>
      <w:rFonts w:ascii="Times New Roman" w:hAnsi="Times New Roman"/>
      <w:kern w:val="2"/>
      <w:sz w:val="24"/>
    </w:rPr>
  </w:style>
  <w:style w:type="character" w:customStyle="1" w:styleId="76">
    <w:name w:val="正文文本首行缩进 2 字符"/>
    <w:link w:val="41"/>
    <w:qFormat/>
    <w:uiPriority w:val="0"/>
    <w:rPr>
      <w:rFonts w:ascii="Times New Roman" w:hAnsi="Times New Roman" w:eastAsia="仿宋_GB2312" w:cs="Times New Roman"/>
      <w:kern w:val="2"/>
      <w:sz w:val="21"/>
      <w:szCs w:val="20"/>
    </w:rPr>
  </w:style>
  <w:style w:type="character" w:customStyle="1" w:styleId="77">
    <w:name w:val="标题 2 Char"/>
    <w:qFormat/>
    <w:uiPriority w:val="0"/>
    <w:rPr>
      <w:rFonts w:ascii="Arial" w:hAnsi="Arial" w:eastAsia="黑体" w:cs="Times New Roman"/>
      <w:b/>
      <w:kern w:val="0"/>
      <w:sz w:val="32"/>
      <w:szCs w:val="20"/>
    </w:rPr>
  </w:style>
  <w:style w:type="paragraph" w:customStyle="1" w:styleId="78">
    <w:name w:val="_Style 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样式1"/>
    <w:basedOn w:val="1"/>
    <w:qFormat/>
    <w:uiPriority w:val="0"/>
    <w:pPr>
      <w:numPr>
        <w:ilvl w:val="0"/>
        <w:numId w:val="1"/>
      </w:numPr>
      <w:adjustRightInd w:val="0"/>
      <w:textAlignment w:val="baseline"/>
    </w:pPr>
    <w:rPr>
      <w:rFonts w:ascii="宋体" w:hAnsi="宋体"/>
      <w:kern w:val="0"/>
    </w:rPr>
  </w:style>
  <w:style w:type="paragraph" w:customStyle="1" w:styleId="80">
    <w:name w:val="样式 宋体 五号 行距: 单倍行距"/>
    <w:basedOn w:val="1"/>
    <w:qFormat/>
    <w:uiPriority w:val="0"/>
    <w:pPr>
      <w:adjustRightInd w:val="0"/>
      <w:jc w:val="left"/>
      <w:textAlignment w:val="baseline"/>
    </w:pPr>
    <w:rPr>
      <w:rFonts w:ascii="宋体" w:hAnsi="宋体"/>
      <w:kern w:val="0"/>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Char Char Char Char Char"/>
    <w:basedOn w:val="1"/>
    <w:qFormat/>
    <w:uiPriority w:val="0"/>
    <w:rPr>
      <w:rFonts w:ascii="Tahoma" w:hAnsi="Tahoma"/>
      <w:sz w:val="24"/>
    </w:rPr>
  </w:style>
  <w:style w:type="paragraph" w:customStyle="1" w:styleId="83">
    <w:name w:val="Char"/>
    <w:basedOn w:val="1"/>
    <w:qFormat/>
    <w:uiPriority w:val="0"/>
    <w:rPr>
      <w:rFonts w:ascii="Tahoma" w:hAnsi="Tahoma"/>
      <w:sz w:val="24"/>
    </w:rPr>
  </w:style>
  <w:style w:type="paragraph" w:customStyle="1" w:styleId="84">
    <w:name w:val="Char1"/>
    <w:basedOn w:val="1"/>
    <w:qFormat/>
    <w:uiPriority w:val="0"/>
    <w:rPr>
      <w:rFonts w:ascii="Tahoma" w:hAnsi="Tahoma" w:eastAsia="仿宋_GB2312"/>
      <w:sz w:val="24"/>
    </w:rPr>
  </w:style>
  <w:style w:type="paragraph" w:customStyle="1" w:styleId="85">
    <w:name w:val="Char Char Char Char Char Char Char1 Char"/>
    <w:basedOn w:val="1"/>
    <w:qFormat/>
    <w:uiPriority w:val="0"/>
    <w:rPr>
      <w:rFonts w:ascii="Tahoma" w:hAnsi="Tahoma"/>
      <w:sz w:val="24"/>
    </w:rPr>
  </w:style>
  <w:style w:type="paragraph" w:customStyle="1" w:styleId="86">
    <w:name w:val="Char Char Char Char"/>
    <w:basedOn w:val="1"/>
    <w:next w:val="1"/>
    <w:qFormat/>
    <w:uiPriority w:val="0"/>
    <w:pPr>
      <w:widowControl/>
      <w:spacing w:line="360" w:lineRule="auto"/>
      <w:jc w:val="left"/>
    </w:pPr>
  </w:style>
  <w:style w:type="paragraph" w:customStyle="1" w:styleId="87">
    <w:name w:val="Char Char Char"/>
    <w:basedOn w:val="1"/>
    <w:qFormat/>
    <w:uiPriority w:val="0"/>
    <w:rPr>
      <w:rFonts w:ascii="Tahoma" w:hAnsi="Tahoma"/>
      <w:sz w:val="24"/>
    </w:rPr>
  </w:style>
  <w:style w:type="paragraph" w:customStyle="1" w:styleId="88">
    <w:name w:val="Char Char Char Char Char Char Char Char Char Char"/>
    <w:basedOn w:val="1"/>
    <w:qFormat/>
    <w:uiPriority w:val="0"/>
    <w:rPr>
      <w:rFonts w:ascii="Tahoma" w:hAnsi="Tahoma" w:cs="仿宋_GB2312"/>
      <w:sz w:val="24"/>
    </w:rPr>
  </w:style>
  <w:style w:type="paragraph" w:customStyle="1" w:styleId="89">
    <w:name w:val="Char Char Char Char Char Char"/>
    <w:basedOn w:val="1"/>
    <w:qFormat/>
    <w:uiPriority w:val="0"/>
  </w:style>
  <w:style w:type="character" w:customStyle="1" w:styleId="90">
    <w:name w:val="纯文本 Char1"/>
    <w:semiHidden/>
    <w:qFormat/>
    <w:uiPriority w:val="99"/>
    <w:rPr>
      <w:rFonts w:ascii="宋体" w:hAnsi="Courier New" w:eastAsia="宋体" w:cs="Courier New"/>
      <w:szCs w:val="21"/>
    </w:rPr>
  </w:style>
  <w:style w:type="paragraph" w:customStyle="1" w:styleId="91">
    <w:name w:val="Char12 Char Char Char"/>
    <w:basedOn w:val="1"/>
    <w:qFormat/>
    <w:uiPriority w:val="0"/>
  </w:style>
  <w:style w:type="character" w:customStyle="1" w:styleId="92">
    <w:name w:val="style29"/>
    <w:qFormat/>
    <w:uiPriority w:val="0"/>
  </w:style>
  <w:style w:type="character" w:customStyle="1" w:styleId="93">
    <w:name w:val="正文1"/>
    <w:qFormat/>
    <w:uiPriority w:val="0"/>
  </w:style>
  <w:style w:type="character" w:customStyle="1" w:styleId="94">
    <w:name w:val="font11"/>
    <w:qFormat/>
    <w:uiPriority w:val="0"/>
    <w:rPr>
      <w:rFonts w:hint="default" w:ascii="Times New Roman" w:hAnsi="Times New Roman" w:cs="Times New Roman"/>
      <w:color w:val="3366FF"/>
      <w:sz w:val="24"/>
      <w:szCs w:val="24"/>
      <w:u w:val="none"/>
    </w:rPr>
  </w:style>
  <w:style w:type="character" w:customStyle="1" w:styleId="95">
    <w:name w:val="font21"/>
    <w:qFormat/>
    <w:uiPriority w:val="0"/>
    <w:rPr>
      <w:rFonts w:hint="eastAsia" w:ascii="宋体" w:hAnsi="宋体" w:eastAsia="宋体"/>
      <w:color w:val="3366FF"/>
      <w:sz w:val="24"/>
      <w:szCs w:val="24"/>
      <w:u w:val="none"/>
    </w:rPr>
  </w:style>
  <w:style w:type="paragraph" w:customStyle="1" w:styleId="96">
    <w:name w:val="Char Char15"/>
    <w:basedOn w:val="1"/>
    <w:qFormat/>
    <w:uiPriority w:val="0"/>
    <w:rPr>
      <w:rFonts w:ascii="Tahoma" w:hAnsi="Tahoma" w:eastAsia="仿宋_GB2312"/>
      <w:sz w:val="24"/>
    </w:rPr>
  </w:style>
  <w:style w:type="paragraph" w:customStyle="1" w:styleId="97">
    <w:name w:val="列出段落1"/>
    <w:basedOn w:val="1"/>
    <w:qFormat/>
    <w:uiPriority w:val="0"/>
    <w:pPr>
      <w:ind w:firstLine="420" w:firstLineChars="200"/>
    </w:pPr>
    <w:rPr>
      <w:rFonts w:ascii="Calibri" w:hAnsi="Calibri"/>
      <w:szCs w:val="22"/>
    </w:rPr>
  </w:style>
  <w:style w:type="paragraph" w:customStyle="1" w:styleId="98">
    <w:name w:val="Char2"/>
    <w:basedOn w:val="1"/>
    <w:qFormat/>
    <w:uiPriority w:val="0"/>
    <w:pPr>
      <w:tabs>
        <w:tab w:val="left" w:pos="360"/>
      </w:tabs>
    </w:pPr>
    <w:rPr>
      <w:sz w:val="24"/>
      <w:szCs w:val="24"/>
    </w:rPr>
  </w:style>
  <w:style w:type="paragraph" w:customStyle="1" w:styleId="99">
    <w:name w:val="Char16"/>
    <w:basedOn w:val="1"/>
    <w:qFormat/>
    <w:uiPriority w:val="0"/>
    <w:rPr>
      <w:rFonts w:ascii="Tahoma" w:hAnsi="Tahoma" w:eastAsia="仿宋_GB2312"/>
      <w:sz w:val="24"/>
    </w:rPr>
  </w:style>
  <w:style w:type="paragraph" w:customStyle="1" w:styleId="100">
    <w:name w:val="Char Char1"/>
    <w:basedOn w:val="1"/>
    <w:qFormat/>
    <w:uiPriority w:val="0"/>
    <w:rPr>
      <w:rFonts w:ascii="Tahoma" w:hAnsi="Tahoma"/>
      <w:sz w:val="24"/>
    </w:rPr>
  </w:style>
  <w:style w:type="paragraph" w:customStyle="1" w:styleId="101">
    <w:name w:val="Char Char Char Char Char Char Char"/>
    <w:basedOn w:val="1"/>
    <w:qFormat/>
    <w:uiPriority w:val="0"/>
    <w:rPr>
      <w:szCs w:val="24"/>
    </w:rPr>
  </w:style>
  <w:style w:type="paragraph" w:customStyle="1" w:styleId="102">
    <w:name w:val="Char Char"/>
    <w:basedOn w:val="1"/>
    <w:qFormat/>
    <w:uiPriority w:val="0"/>
    <w:rPr>
      <w:rFonts w:ascii="Tahoma" w:hAnsi="Tahoma" w:cs="仿宋_GB2312"/>
      <w:sz w:val="24"/>
    </w:rPr>
  </w:style>
  <w:style w:type="paragraph" w:customStyle="1" w:styleId="103">
    <w:name w:val="Char Char2"/>
    <w:basedOn w:val="1"/>
    <w:qFormat/>
    <w:uiPriority w:val="0"/>
    <w:rPr>
      <w:rFonts w:ascii="Tahoma" w:hAnsi="Tahoma" w:cs="仿宋_GB2312"/>
      <w:sz w:val="24"/>
    </w:rPr>
  </w:style>
  <w:style w:type="paragraph" w:customStyle="1" w:styleId="104">
    <w:name w:val="Char Char Char1"/>
    <w:basedOn w:val="1"/>
    <w:qFormat/>
    <w:uiPriority w:val="0"/>
    <w:rPr>
      <w:rFonts w:ascii="Tahoma" w:hAnsi="Tahoma"/>
      <w:sz w:val="24"/>
    </w:rPr>
  </w:style>
  <w:style w:type="paragraph" w:customStyle="1" w:styleId="105">
    <w:name w:val="D&amp;L"/>
    <w:basedOn w:val="2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10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7">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8">
    <w:name w:val="style23"/>
    <w:qFormat/>
    <w:uiPriority w:val="0"/>
    <w:rPr>
      <w:rFonts w:ascii="Times New Roman" w:hAnsi="Times New Roman" w:eastAsia="宋体"/>
    </w:rPr>
  </w:style>
  <w:style w:type="paragraph" w:customStyle="1" w:styleId="109">
    <w:name w:val="p0"/>
    <w:basedOn w:val="1"/>
    <w:qFormat/>
    <w:uiPriority w:val="0"/>
    <w:pPr>
      <w:widowControl/>
      <w:jc w:val="left"/>
    </w:pPr>
    <w:rPr>
      <w:rFonts w:ascii="等线" w:hAnsi="等线" w:eastAsia="等线" w:cs="等线"/>
      <w:kern w:val="0"/>
      <w:sz w:val="20"/>
      <w:szCs w:val="22"/>
    </w:rPr>
  </w:style>
  <w:style w:type="paragraph" w:customStyle="1" w:styleId="110">
    <w:name w:val="列表段落1"/>
    <w:basedOn w:val="1"/>
    <w:qFormat/>
    <w:uiPriority w:val="34"/>
    <w:pPr>
      <w:ind w:firstLine="420" w:firstLineChars="200"/>
    </w:pPr>
    <w:rPr>
      <w:szCs w:val="24"/>
    </w:rPr>
  </w:style>
  <w:style w:type="paragraph" w:customStyle="1" w:styleId="111">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112">
    <w:name w:val="Table Paragraph"/>
    <w:basedOn w:val="1"/>
    <w:qFormat/>
    <w:uiPriority w:val="1"/>
  </w:style>
  <w:style w:type="paragraph" w:styleId="113">
    <w:name w:val="List Paragraph"/>
    <w:basedOn w:val="1"/>
    <w:qFormat/>
    <w:uiPriority w:val="0"/>
    <w:pPr>
      <w:ind w:firstLine="420" w:firstLineChars="200"/>
    </w:pPr>
  </w:style>
  <w:style w:type="table" w:customStyle="1" w:styleId="114">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character" w:customStyle="1" w:styleId="115">
    <w:name w:val="ca-1"/>
    <w:qFormat/>
    <w:uiPriority w:val="0"/>
  </w:style>
  <w:style w:type="character" w:customStyle="1" w:styleId="116">
    <w:name w:val="ca-0"/>
    <w:qFormat/>
    <w:uiPriority w:val="0"/>
  </w:style>
  <w:style w:type="character" w:customStyle="1" w:styleId="117">
    <w:name w:val="批注文字 Char Char"/>
    <w:qFormat/>
    <w:uiPriority w:val="0"/>
    <w:rPr>
      <w:rFonts w:ascii="宋体" w:hAnsi="Times New Roman" w:eastAsia="宋体" w:cs="Times New Roman"/>
      <w:sz w:val="28"/>
      <w:szCs w:val="20"/>
    </w:rPr>
  </w:style>
  <w:style w:type="paragraph" w:customStyle="1" w:styleId="118">
    <w:name w:val="Char Char Char Char Char Char Char Char Char Char Char Char Char Char Char Char Char Char Char Char Char Char Char Char Char"/>
    <w:basedOn w:val="1"/>
    <w:qFormat/>
    <w:uiPriority w:val="0"/>
    <w:pPr>
      <w:snapToGrid w:val="0"/>
      <w:spacing w:line="360" w:lineRule="auto"/>
      <w:ind w:firstLine="200" w:firstLineChars="200"/>
    </w:pPr>
    <w:rPr>
      <w:rFonts w:ascii="Calibri" w:hAnsi="Calibri" w:eastAsia="仿宋_GB2312"/>
      <w:sz w:val="24"/>
      <w:szCs w:val="24"/>
    </w:rPr>
  </w:style>
  <w:style w:type="paragraph" w:customStyle="1" w:styleId="119">
    <w:name w:val="Char Char Char Char1"/>
    <w:basedOn w:val="1"/>
    <w:qFormat/>
    <w:uiPriority w:val="0"/>
    <w:pPr>
      <w:snapToGrid w:val="0"/>
      <w:spacing w:line="360" w:lineRule="auto"/>
      <w:ind w:firstLine="200" w:firstLineChars="200"/>
    </w:pPr>
    <w:rPr>
      <w:rFonts w:ascii="Calibri" w:hAnsi="Calibri" w:eastAsia="仿宋_GB2312"/>
      <w:sz w:val="24"/>
      <w:szCs w:val="24"/>
    </w:rPr>
  </w:style>
  <w:style w:type="paragraph" w:customStyle="1" w:styleId="12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2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2">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3">
    <w:name w:val="文章正文"/>
    <w:basedOn w:val="1"/>
    <w:qFormat/>
    <w:uiPriority w:val="0"/>
    <w:pPr>
      <w:numPr>
        <w:ilvl w:val="1"/>
        <w:numId w:val="1"/>
      </w:numPr>
      <w:tabs>
        <w:tab w:val="left" w:pos="992"/>
      </w:tabs>
      <w:spacing w:beforeLines="50" w:afterLines="50" w:line="320" w:lineRule="exact"/>
      <w:ind w:left="0" w:firstLine="200" w:firstLineChars="200"/>
    </w:pPr>
    <w:rPr>
      <w:rFonts w:ascii="仿宋_GB2312" w:eastAsia="仿宋_GB2312"/>
      <w:sz w:val="28"/>
      <w:szCs w:val="24"/>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7">
    <w:name w:val="SUR-需求定义-第4级"/>
    <w:basedOn w:val="5"/>
    <w:next w:val="1"/>
    <w:qFormat/>
    <w:uiPriority w:val="0"/>
    <w:pPr>
      <w:numPr>
        <w:ilvl w:val="3"/>
        <w:numId w:val="2"/>
      </w:numPr>
      <w:tabs>
        <w:tab w:val="left" w:pos="1080"/>
      </w:tabs>
      <w:adjustRightInd/>
      <w:spacing w:before="0" w:after="0" w:line="376" w:lineRule="auto"/>
      <w:ind w:left="-283" w:firstLine="283"/>
      <w:textAlignment w:val="auto"/>
    </w:pPr>
    <w:rPr>
      <w:rFonts w:cs="Arial"/>
      <w:b w:val="0"/>
      <w:bCs/>
      <w:color w:val="0000FF"/>
      <w:kern w:val="2"/>
      <w:sz w:val="24"/>
      <w:szCs w:val="24"/>
    </w:rPr>
  </w:style>
  <w:style w:type="paragraph" w:customStyle="1" w:styleId="1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9">
    <w:name w:val="基本文字 Char"/>
    <w:basedOn w:val="1"/>
    <w:qFormat/>
    <w:uiPriority w:val="0"/>
    <w:pPr>
      <w:spacing w:before="156" w:line="400" w:lineRule="atLeast"/>
      <w:ind w:firstLine="540" w:firstLineChars="225"/>
    </w:pPr>
    <w:rPr>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1">
    <w:name w:val="二级标题"/>
    <w:basedOn w:val="1"/>
    <w:next w:val="123"/>
    <w:qFormat/>
    <w:uiPriority w:val="0"/>
    <w:pPr>
      <w:tabs>
        <w:tab w:val="left" w:pos="709"/>
        <w:tab w:val="left" w:pos="992"/>
      </w:tabs>
      <w:ind w:left="992" w:hanging="567"/>
      <w:outlineLvl w:val="1"/>
    </w:pPr>
    <w:rPr>
      <w:rFonts w:ascii="黑体" w:eastAsia="黑体"/>
      <w:sz w:val="28"/>
      <w:szCs w:val="24"/>
    </w:rPr>
  </w:style>
  <w:style w:type="paragraph" w:customStyle="1" w:styleId="132">
    <w:name w:val="_Style 8"/>
    <w:basedOn w:val="1"/>
    <w:qFormat/>
    <w:uiPriority w:val="0"/>
  </w:style>
  <w:style w:type="paragraph" w:customStyle="1" w:styleId="133">
    <w:name w:val="一级标题"/>
    <w:basedOn w:val="1"/>
    <w:next w:val="131"/>
    <w:qFormat/>
    <w:uiPriority w:val="0"/>
    <w:pPr>
      <w:numPr>
        <w:ilvl w:val="2"/>
        <w:numId w:val="1"/>
      </w:numPr>
      <w:tabs>
        <w:tab w:val="left" w:pos="1418"/>
      </w:tabs>
      <w:spacing w:afterLines="100"/>
      <w:ind w:left="850"/>
      <w:outlineLvl w:val="0"/>
    </w:pPr>
    <w:rPr>
      <w:rFonts w:ascii="黑体" w:eastAsia="黑体"/>
      <w:sz w:val="30"/>
      <w:szCs w:val="28"/>
    </w:rPr>
  </w:style>
  <w:style w:type="paragraph" w:customStyle="1" w:styleId="134">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36">
    <w:name w:val="正文文本 (3)"/>
    <w:basedOn w:val="1"/>
    <w:qFormat/>
    <w:uiPriority w:val="0"/>
    <w:pPr>
      <w:shd w:val="clear" w:color="auto" w:fill="FFFFFF"/>
      <w:spacing w:before="660" w:after="2820" w:line="0" w:lineRule="atLeast"/>
      <w:jc w:val="right"/>
    </w:pPr>
    <w:rPr>
      <w:rFonts w:ascii="AngsanaUPC" w:hAnsi="AngsanaUPC" w:eastAsia="AngsanaUPC" w:cs="AngsanaUPC"/>
      <w:b/>
      <w:bCs/>
      <w:sz w:val="40"/>
      <w:szCs w:val="40"/>
      <w:lang w:eastAsia="en-US" w:bidi="en-US"/>
    </w:rPr>
  </w:style>
  <w:style w:type="paragraph" w:customStyle="1" w:styleId="137">
    <w:name w:val="正文文本 (2)"/>
    <w:basedOn w:val="1"/>
    <w:qFormat/>
    <w:uiPriority w:val="0"/>
    <w:pPr>
      <w:shd w:val="clear" w:color="auto" w:fill="FFFFFF"/>
      <w:spacing w:before="660" w:line="312" w:lineRule="exact"/>
      <w:ind w:hanging="420"/>
      <w:jc w:val="distribute"/>
    </w:pPr>
    <w:rPr>
      <w:rFonts w:ascii="MingLiU" w:hAnsi="MingLiU" w:eastAsia="MingLiU" w:cs="MingLiU"/>
      <w:sz w:val="19"/>
      <w:szCs w:val="19"/>
    </w:rPr>
  </w:style>
  <w:style w:type="character" w:customStyle="1" w:styleId="138">
    <w:name w:val="正文文本 (2)1"/>
    <w:qFormat/>
    <w:uiPriority w:val="0"/>
    <w:rPr>
      <w:rFonts w:ascii="MingLiU" w:hAnsi="MingLiU" w:eastAsia="MingLiU" w:cs="MingLiU"/>
      <w:color w:val="000000"/>
      <w:spacing w:val="0"/>
      <w:w w:val="100"/>
      <w:position w:val="0"/>
      <w:sz w:val="19"/>
      <w:szCs w:val="19"/>
      <w:lang w:val="zh-TW" w:eastAsia="zh-TW" w:bidi="zh-TW"/>
    </w:rPr>
  </w:style>
  <w:style w:type="character" w:customStyle="1" w:styleId="139">
    <w:name w:val="正文文本 (2) + AngsanaUPC"/>
    <w:qFormat/>
    <w:uiPriority w:val="0"/>
    <w:rPr>
      <w:rFonts w:ascii="AngsanaUPC" w:hAnsi="AngsanaUPC" w:eastAsia="AngsanaUPC" w:cs="AngsanaUPC"/>
      <w:color w:val="000000"/>
      <w:spacing w:val="0"/>
      <w:w w:val="100"/>
      <w:position w:val="0"/>
      <w:sz w:val="30"/>
      <w:szCs w:val="30"/>
      <w:lang w:val="en-US" w:eastAsia="en-US" w:bidi="en-US"/>
    </w:rPr>
  </w:style>
  <w:style w:type="paragraph" w:customStyle="1" w:styleId="140">
    <w:name w:val="修订1"/>
    <w:unhideWhenUsed/>
    <w:qFormat/>
    <w:uiPriority w:val="99"/>
    <w:rPr>
      <w:rFonts w:ascii="Times New Roman" w:hAnsi="Times New Roman" w:eastAsia="宋体" w:cs="Times New Roman"/>
      <w:kern w:val="2"/>
      <w:sz w:val="21"/>
      <w:lang w:val="en-US" w:eastAsia="zh-CN" w:bidi="ar-SA"/>
    </w:rPr>
  </w:style>
  <w:style w:type="paragraph" w:customStyle="1" w:styleId="141">
    <w:name w:val="_Style 140"/>
    <w:unhideWhenUsed/>
    <w:qFormat/>
    <w:uiPriority w:val="99"/>
    <w:rPr>
      <w:rFonts w:ascii="Times New Roman" w:hAnsi="Times New Roman" w:eastAsia="宋体" w:cs="Times New Roman"/>
      <w:kern w:val="2"/>
      <w:sz w:val="21"/>
      <w:lang w:val="en-US" w:eastAsia="zh-CN" w:bidi="ar-SA"/>
    </w:rPr>
  </w:style>
  <w:style w:type="paragraph" w:styleId="14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10546</Words>
  <Characters>10944</Characters>
  <Lines>113</Lines>
  <Paragraphs>31</Paragraphs>
  <TotalTime>6</TotalTime>
  <ScaleCrop>false</ScaleCrop>
  <LinksUpToDate>false</LinksUpToDate>
  <CharactersWithSpaces>11456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2025-02-20T08:58:00Z</dcterms:created>
  <dc:creator>朱少尉</dc:creator>
  <cp:lastModifiedBy>夏至</cp:lastModifiedBy>
  <cp:lastPrinted>2025-03-31T02:41:00Z</cp:lastPrinted>
  <dcterms:modified xsi:type="dcterms:W3CDTF">2026-03-16T01:06:35Z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84449586F1D3460B90BD0F2383155573_13</vt:lpwstr>
  </property>
  <property fmtid="{D5CDD505-2E9C-101B-9397-08002B2CF9AE}" pid="4" name="KSOTemplateDocerSaveRecord">
    <vt:lpwstr>eyJoZGlkIjoiM2M0ZjlmOGU2OGVjZmNmZTVlOTVhMDlmMmRiNTBiN2MiLCJ1c2VySWQiOiI4OTA4MTg4NjIifQ==</vt:lpwstr>
  </property>
</Properties>
</file>