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6D4120">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方正小标宋_GBK"/>
          <w:sz w:val="44"/>
          <w:szCs w:val="44"/>
        </w:rPr>
      </w:pPr>
      <w:bookmarkStart w:id="5" w:name="_GoBack"/>
      <w:bookmarkEnd w:id="5"/>
    </w:p>
    <w:p w14:paraId="09BFFEDE">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方正小标宋_GBK"/>
          <w:sz w:val="44"/>
          <w:szCs w:val="44"/>
        </w:rPr>
      </w:pPr>
    </w:p>
    <w:p w14:paraId="3E0A2756">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方正小标宋_GBK"/>
          <w:sz w:val="44"/>
          <w:szCs w:val="44"/>
        </w:rPr>
      </w:pPr>
    </w:p>
    <w:p w14:paraId="6F78200F">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方正小标宋_GBK"/>
          <w:sz w:val="44"/>
          <w:szCs w:val="44"/>
        </w:rPr>
      </w:pPr>
    </w:p>
    <w:p w14:paraId="50441455">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方正小标宋_GBK"/>
          <w:sz w:val="44"/>
          <w:szCs w:val="44"/>
        </w:rPr>
      </w:pPr>
      <w:r>
        <w:rPr>
          <w:rFonts w:ascii="Times New Roman" w:hAnsi="Times New Roman" w:eastAsia="方正小标宋_GBK"/>
          <w:sz w:val="44"/>
          <w:szCs w:val="44"/>
        </w:rPr>
        <w:t>安徽省耕地保护和国土绿化空间专项规划（2025</w:t>
      </w:r>
      <w:r>
        <w:rPr>
          <w:rFonts w:hint="eastAsia" w:ascii="Times New Roman" w:hAnsi="Times New Roman" w:eastAsia="方正仿宋_GBK"/>
          <w:sz w:val="32"/>
          <w:szCs w:val="32"/>
          <w:lang w:eastAsia="zh-CN"/>
        </w:rPr>
        <w:t>—</w:t>
      </w:r>
      <w:r>
        <w:rPr>
          <w:rFonts w:ascii="Times New Roman" w:hAnsi="Times New Roman" w:eastAsia="方正小标宋_GBK"/>
          <w:sz w:val="44"/>
          <w:szCs w:val="44"/>
        </w:rPr>
        <w:t>2035年）</w:t>
      </w:r>
    </w:p>
    <w:p w14:paraId="332608E9">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方正小标宋_GBK"/>
          <w:sz w:val="44"/>
          <w:szCs w:val="44"/>
        </w:rPr>
      </w:pPr>
    </w:p>
    <w:p w14:paraId="0F1EDCC7">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ascii="Times New Roman" w:hAnsi="Times New Roman" w:eastAsia="方正仿宋_GBK"/>
          <w:sz w:val="32"/>
          <w:szCs w:val="32"/>
        </w:rPr>
      </w:pPr>
      <w:r>
        <w:rPr>
          <w:rFonts w:hint="eastAsia" w:ascii="Times New Roman" w:hAnsi="Times New Roman" w:eastAsia="方正仿宋_GBK"/>
          <w:sz w:val="32"/>
          <w:szCs w:val="32"/>
          <w:lang w:val="en-US" w:eastAsia="zh-CN"/>
        </w:rPr>
        <w:t>粮食安全和保护好生态环境是“国之大者”，耕地是粮食生产的命根子，森林是人类生存发展的重要生态保障。为</w:t>
      </w:r>
      <w:r>
        <w:rPr>
          <w:rFonts w:hint="eastAsia" w:ascii="Times New Roman" w:hAnsi="Times New Roman" w:eastAsia="方正仿宋_GBK"/>
          <w:sz w:val="32"/>
          <w:szCs w:val="32"/>
        </w:rPr>
        <w:t>化解耕地和林地空间矛盾冲突，优化农用地空间布局，实现规划引领下更高质量的耕地数量、质量、生态“三位一体”保护，促进农业农村现代化，有力支撑保障国家粮食安全和生态安全</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rPr>
        <w:t>根据</w:t>
      </w:r>
      <w:r>
        <w:rPr>
          <w:rFonts w:ascii="Times New Roman" w:hAnsi="Times New Roman" w:eastAsia="方正仿宋_GBK"/>
          <w:sz w:val="32"/>
          <w:szCs w:val="32"/>
        </w:rPr>
        <w:t>《安徽省国土空间规划（2021—2035年）》，</w:t>
      </w:r>
      <w:r>
        <w:rPr>
          <w:rFonts w:hint="eastAsia" w:ascii="Times New Roman" w:hAnsi="Times New Roman" w:eastAsia="方正仿宋_GBK"/>
          <w:sz w:val="32"/>
          <w:szCs w:val="32"/>
        </w:rPr>
        <w:t>制定本</w:t>
      </w:r>
      <w:r>
        <w:rPr>
          <w:rFonts w:ascii="Times New Roman" w:hAnsi="Times New Roman" w:eastAsia="方正仿宋_GBK"/>
          <w:sz w:val="32"/>
          <w:szCs w:val="32"/>
        </w:rPr>
        <w:t>规划。</w:t>
      </w:r>
    </w:p>
    <w:p w14:paraId="6A481223">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一、总体要求</w:t>
      </w:r>
    </w:p>
    <w:p w14:paraId="174F2884">
      <w:pPr>
        <w:keepNext w:val="0"/>
        <w:keepLines w:val="0"/>
        <w:pageBreakBefore w:val="0"/>
        <w:kinsoku/>
        <w:wordWrap/>
        <w:overflowPunct/>
        <w:topLinePunct w:val="0"/>
        <w:autoSpaceDE/>
        <w:autoSpaceDN/>
        <w:bidi w:val="0"/>
        <w:adjustRightInd/>
        <w:snapToGrid/>
        <w:spacing w:line="560" w:lineRule="exact"/>
        <w:ind w:firstLine="641"/>
        <w:textAlignment w:val="auto"/>
        <w:rPr>
          <w:rFonts w:ascii="Times New Roman" w:hAnsi="Times New Roman" w:eastAsia="方正仿宋_GBK"/>
          <w:sz w:val="32"/>
          <w:szCs w:val="32"/>
        </w:rPr>
      </w:pPr>
      <w:r>
        <w:rPr>
          <w:rFonts w:ascii="Times New Roman" w:hAnsi="Times New Roman" w:eastAsia="方正仿宋_GBK"/>
          <w:sz w:val="32"/>
          <w:szCs w:val="32"/>
        </w:rPr>
        <w:t>以习近平新时代中国特色社会主义思想为指导，全面贯彻</w:t>
      </w:r>
      <w:r>
        <w:rPr>
          <w:rFonts w:hint="eastAsia" w:ascii="Times New Roman" w:hAnsi="Times New Roman" w:eastAsia="方正仿宋_GBK"/>
          <w:sz w:val="32"/>
          <w:szCs w:val="32"/>
          <w:lang w:val="en-US" w:eastAsia="zh-CN"/>
        </w:rPr>
        <w:t>落实</w:t>
      </w:r>
      <w:r>
        <w:rPr>
          <w:rFonts w:ascii="Times New Roman" w:hAnsi="Times New Roman" w:eastAsia="方正仿宋_GBK"/>
          <w:sz w:val="32"/>
          <w:szCs w:val="32"/>
        </w:rPr>
        <w:t>党的二十大</w:t>
      </w:r>
      <w:r>
        <w:rPr>
          <w:rFonts w:hint="eastAsia" w:ascii="Times New Roman" w:hAnsi="Times New Roman" w:eastAsia="方正仿宋_GBK"/>
          <w:sz w:val="32"/>
          <w:szCs w:val="32"/>
        </w:rPr>
        <w:t>和二十届历次全</w:t>
      </w:r>
      <w:r>
        <w:rPr>
          <w:rFonts w:hint="eastAsia" w:ascii="Times New Roman" w:hAnsi="Times New Roman" w:eastAsia="方正仿宋_GBK" w:cs="Times New Roman"/>
          <w:sz w:val="32"/>
          <w:szCs w:val="32"/>
        </w:rPr>
        <w:t>会</w:t>
      </w:r>
      <w:r>
        <w:rPr>
          <w:rFonts w:hint="eastAsia" w:ascii="Times New Roman" w:hAnsi="Times New Roman" w:eastAsia="方正仿宋_GBK" w:cs="Times New Roman"/>
          <w:sz w:val="32"/>
          <w:szCs w:val="32"/>
          <w:lang w:val="en-US" w:eastAsia="zh-CN"/>
        </w:rPr>
        <w:t>精神</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深</w:t>
      </w:r>
      <w:r>
        <w:rPr>
          <w:rFonts w:hint="eastAsia" w:ascii="Times New Roman" w:hAnsi="Times New Roman" w:eastAsia="方正仿宋_GBK"/>
          <w:sz w:val="32"/>
          <w:szCs w:val="32"/>
          <w:lang w:val="en-US" w:eastAsia="zh-CN"/>
        </w:rPr>
        <w:t>入学习贯彻</w:t>
      </w:r>
      <w:r>
        <w:rPr>
          <w:rFonts w:ascii="Times New Roman" w:hAnsi="Times New Roman" w:eastAsia="方正仿宋_GBK"/>
          <w:sz w:val="32"/>
          <w:szCs w:val="32"/>
        </w:rPr>
        <w:t>习近平总书记考察安徽重要讲话精神，紧扣“三地一区”战略定位，完整</w:t>
      </w:r>
      <w:r>
        <w:rPr>
          <w:rFonts w:hint="eastAsia" w:ascii="Times New Roman" w:hAnsi="Times New Roman" w:eastAsia="方正仿宋_GBK"/>
          <w:sz w:val="32"/>
          <w:szCs w:val="32"/>
          <w:lang w:eastAsia="zh-CN"/>
        </w:rPr>
        <w:t>、</w:t>
      </w:r>
      <w:r>
        <w:rPr>
          <w:rFonts w:ascii="Times New Roman" w:hAnsi="Times New Roman" w:eastAsia="方正仿宋_GBK"/>
          <w:sz w:val="32"/>
          <w:szCs w:val="32"/>
        </w:rPr>
        <w:t>准确</w:t>
      </w:r>
      <w:r>
        <w:rPr>
          <w:rFonts w:hint="eastAsia" w:ascii="Times New Roman" w:hAnsi="Times New Roman" w:eastAsia="方正仿宋_GBK"/>
          <w:sz w:val="32"/>
          <w:szCs w:val="32"/>
          <w:lang w:eastAsia="zh-CN"/>
        </w:rPr>
        <w:t>、</w:t>
      </w:r>
      <w:r>
        <w:rPr>
          <w:rFonts w:ascii="Times New Roman" w:hAnsi="Times New Roman" w:eastAsia="方正仿宋_GBK"/>
          <w:sz w:val="32"/>
          <w:szCs w:val="32"/>
        </w:rPr>
        <w:t>全面贯彻新发展理念，统筹</w:t>
      </w:r>
      <w:r>
        <w:rPr>
          <w:rFonts w:hint="eastAsia" w:ascii="Times New Roman" w:hAnsi="Times New Roman" w:eastAsia="方正仿宋_GBK"/>
          <w:sz w:val="32"/>
          <w:szCs w:val="32"/>
        </w:rPr>
        <w:t>粮食安全和生态安全两大目标</w:t>
      </w:r>
      <w:r>
        <w:rPr>
          <w:rFonts w:ascii="Times New Roman" w:hAnsi="Times New Roman" w:eastAsia="方正仿宋_GBK"/>
          <w:sz w:val="32"/>
          <w:szCs w:val="32"/>
        </w:rPr>
        <w:t>，立足安徽</w:t>
      </w:r>
      <w:r>
        <w:rPr>
          <w:rFonts w:hint="eastAsia" w:ascii="Times New Roman" w:hAnsi="Times New Roman" w:eastAsia="方正仿宋_GBK"/>
          <w:sz w:val="32"/>
          <w:szCs w:val="32"/>
          <w:lang w:val="en-US" w:eastAsia="zh-CN"/>
        </w:rPr>
        <w:t>地处</w:t>
      </w:r>
      <w:r>
        <w:rPr>
          <w:rFonts w:ascii="Times New Roman" w:hAnsi="Times New Roman" w:eastAsia="方正仿宋_GBK"/>
          <w:sz w:val="32"/>
          <w:szCs w:val="32"/>
        </w:rPr>
        <w:t>南北气候过渡</w:t>
      </w:r>
      <w:r>
        <w:rPr>
          <w:rFonts w:hint="eastAsia" w:ascii="Times New Roman" w:hAnsi="Times New Roman" w:eastAsia="方正仿宋_GBK"/>
          <w:sz w:val="32"/>
          <w:szCs w:val="32"/>
        </w:rPr>
        <w:t>带</w:t>
      </w:r>
      <w:r>
        <w:rPr>
          <w:rFonts w:ascii="Times New Roman" w:hAnsi="Times New Roman" w:eastAsia="方正仿宋_GBK"/>
          <w:sz w:val="32"/>
          <w:szCs w:val="32"/>
        </w:rPr>
        <w:t>、农业生产条件</w:t>
      </w:r>
      <w:r>
        <w:rPr>
          <w:rFonts w:hint="eastAsia" w:ascii="Times New Roman" w:hAnsi="Times New Roman" w:eastAsia="方正仿宋_GBK"/>
          <w:sz w:val="32"/>
          <w:szCs w:val="32"/>
          <w:lang w:val="en-US" w:eastAsia="zh-CN"/>
        </w:rPr>
        <w:t>优渥</w:t>
      </w:r>
      <w:r>
        <w:rPr>
          <w:rFonts w:hint="eastAsia" w:ascii="Times New Roman" w:hAnsi="Times New Roman" w:eastAsia="方正仿宋_GBK"/>
          <w:sz w:val="32"/>
          <w:szCs w:val="32"/>
        </w:rPr>
        <w:t>、</w:t>
      </w:r>
      <w:r>
        <w:rPr>
          <w:rFonts w:ascii="Times New Roman" w:hAnsi="Times New Roman" w:eastAsia="方正仿宋_GBK"/>
          <w:sz w:val="32"/>
          <w:szCs w:val="32"/>
        </w:rPr>
        <w:t>山水林田湖草</w:t>
      </w:r>
      <w:r>
        <w:rPr>
          <w:rFonts w:hint="eastAsia" w:ascii="Times New Roman" w:hAnsi="Times New Roman" w:eastAsia="方正仿宋_GBK"/>
          <w:sz w:val="32"/>
          <w:szCs w:val="32"/>
        </w:rPr>
        <w:t>类型多样</w:t>
      </w:r>
      <w:r>
        <w:rPr>
          <w:rFonts w:ascii="Times New Roman" w:hAnsi="Times New Roman" w:eastAsia="方正仿宋_GBK"/>
          <w:sz w:val="32"/>
          <w:szCs w:val="32"/>
        </w:rPr>
        <w:t>的</w:t>
      </w:r>
      <w:r>
        <w:rPr>
          <w:rFonts w:hint="eastAsia" w:ascii="Times New Roman" w:hAnsi="Times New Roman" w:eastAsia="方正仿宋_GBK"/>
          <w:sz w:val="32"/>
          <w:szCs w:val="32"/>
          <w:lang w:val="en-US" w:eastAsia="zh-CN"/>
        </w:rPr>
        <w:t>自然地理</w:t>
      </w:r>
      <w:r>
        <w:rPr>
          <w:rFonts w:hint="eastAsia" w:ascii="Times New Roman" w:hAnsi="Times New Roman" w:eastAsia="方正仿宋_GBK" w:cs="Times New Roman"/>
          <w:sz w:val="32"/>
          <w:szCs w:val="32"/>
          <w:lang w:val="en-US" w:eastAsia="zh-CN"/>
        </w:rPr>
        <w:t>条件</w:t>
      </w:r>
      <w:r>
        <w:rPr>
          <w:rFonts w:hint="eastAsia"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针对</w:t>
      </w:r>
      <w:r>
        <w:rPr>
          <w:rFonts w:hint="eastAsia" w:ascii="Times New Roman" w:hAnsi="Times New Roman" w:eastAsia="方正仿宋_GBK" w:cs="Times New Roman"/>
          <w:sz w:val="32"/>
          <w:szCs w:val="32"/>
        </w:rPr>
        <w:t>耕</w:t>
      </w:r>
      <w:r>
        <w:rPr>
          <w:rFonts w:ascii="Times New Roman" w:hAnsi="Times New Roman" w:eastAsia="方正仿宋_GBK"/>
          <w:sz w:val="32"/>
          <w:szCs w:val="32"/>
        </w:rPr>
        <w:t>林空间交叉重叠、占补平衡矛盾、空间布局碎片化、数字化治理不足等现实问题，构建</w:t>
      </w:r>
      <w:r>
        <w:rPr>
          <w:rFonts w:hint="eastAsia" w:ascii="Times New Roman" w:hAnsi="Times New Roman" w:eastAsia="方正仿宋_GBK"/>
          <w:sz w:val="32"/>
          <w:szCs w:val="32"/>
        </w:rPr>
        <w:t>“</w:t>
      </w:r>
      <w:r>
        <w:rPr>
          <w:rFonts w:ascii="Times New Roman" w:hAnsi="Times New Roman" w:eastAsia="方正仿宋_GBK"/>
          <w:sz w:val="32"/>
          <w:szCs w:val="32"/>
        </w:rPr>
        <w:t>分</w:t>
      </w:r>
      <w:r>
        <w:rPr>
          <w:rFonts w:hint="eastAsia" w:ascii="Times New Roman" w:hAnsi="Times New Roman" w:eastAsia="方正仿宋_GBK"/>
          <w:sz w:val="32"/>
          <w:szCs w:val="32"/>
        </w:rPr>
        <w:t>类</w:t>
      </w:r>
      <w:r>
        <w:rPr>
          <w:rFonts w:ascii="Times New Roman" w:hAnsi="Times New Roman" w:eastAsia="方正仿宋_GBK"/>
          <w:sz w:val="32"/>
          <w:szCs w:val="32"/>
        </w:rPr>
        <w:t>管控、</w:t>
      </w:r>
      <w:r>
        <w:rPr>
          <w:rFonts w:hint="eastAsia" w:ascii="Times New Roman" w:hAnsi="Times New Roman" w:eastAsia="方正仿宋_GBK"/>
          <w:sz w:val="32"/>
          <w:szCs w:val="32"/>
        </w:rPr>
        <w:t>五</w:t>
      </w:r>
      <w:r>
        <w:rPr>
          <w:rFonts w:ascii="Times New Roman" w:hAnsi="Times New Roman" w:eastAsia="方正仿宋_GBK"/>
          <w:sz w:val="32"/>
          <w:szCs w:val="32"/>
        </w:rPr>
        <w:t>区协同、数字赋能、工程支撑</w:t>
      </w:r>
      <w:r>
        <w:rPr>
          <w:rFonts w:hint="eastAsia" w:ascii="Times New Roman" w:hAnsi="Times New Roman" w:eastAsia="方正仿宋_GBK"/>
          <w:sz w:val="32"/>
          <w:szCs w:val="32"/>
        </w:rPr>
        <w:t>”</w:t>
      </w:r>
      <w:r>
        <w:rPr>
          <w:rFonts w:ascii="Times New Roman" w:hAnsi="Times New Roman" w:eastAsia="方正仿宋_GBK"/>
          <w:sz w:val="32"/>
          <w:szCs w:val="32"/>
        </w:rPr>
        <w:t>耕林空间治理模式。</w:t>
      </w:r>
    </w:p>
    <w:p w14:paraId="5AC0EF2A">
      <w:pPr>
        <w:keepNext w:val="0"/>
        <w:keepLines w:val="0"/>
        <w:pageBreakBefore w:val="0"/>
        <w:kinsoku/>
        <w:wordWrap/>
        <w:overflowPunct/>
        <w:topLinePunct w:val="0"/>
        <w:autoSpaceDE/>
        <w:autoSpaceDN/>
        <w:bidi w:val="0"/>
        <w:adjustRightInd/>
        <w:snapToGrid/>
        <w:spacing w:line="560" w:lineRule="exact"/>
        <w:ind w:firstLine="641"/>
        <w:textAlignment w:val="auto"/>
        <w:rPr>
          <w:rFonts w:ascii="Times New Roman" w:hAnsi="Times New Roman" w:eastAsia="方正仿宋_GBK"/>
          <w:sz w:val="32"/>
          <w:szCs w:val="32"/>
        </w:rPr>
      </w:pPr>
      <w:r>
        <w:rPr>
          <w:rFonts w:ascii="Times New Roman" w:hAnsi="Times New Roman" w:eastAsia="方正仿宋_GBK"/>
          <w:sz w:val="32"/>
          <w:szCs w:val="32"/>
        </w:rPr>
        <w:t>规划</w:t>
      </w:r>
      <w:r>
        <w:rPr>
          <w:rFonts w:hint="eastAsia" w:ascii="Times New Roman" w:hAnsi="Times New Roman" w:eastAsia="方正仿宋_GBK"/>
          <w:sz w:val="32"/>
          <w:szCs w:val="32"/>
          <w:lang w:val="en-US" w:eastAsia="zh-CN"/>
        </w:rPr>
        <w:t>期限为</w:t>
      </w:r>
      <w:r>
        <w:rPr>
          <w:rFonts w:ascii="Times New Roman" w:hAnsi="Times New Roman" w:eastAsia="方正仿宋_GBK"/>
          <w:sz w:val="32"/>
          <w:szCs w:val="32"/>
        </w:rPr>
        <w:t>2025</w:t>
      </w:r>
      <w:r>
        <w:rPr>
          <w:rFonts w:hint="eastAsia" w:ascii="Times New Roman" w:hAnsi="Times New Roman" w:eastAsia="方正仿宋_GBK"/>
          <w:sz w:val="32"/>
          <w:szCs w:val="32"/>
          <w:lang w:val="en-US" w:eastAsia="zh-CN"/>
        </w:rPr>
        <w:t>年至</w:t>
      </w:r>
      <w:r>
        <w:rPr>
          <w:rFonts w:ascii="Times New Roman" w:hAnsi="Times New Roman" w:eastAsia="方正仿宋_GBK"/>
          <w:sz w:val="32"/>
          <w:szCs w:val="32"/>
        </w:rPr>
        <w:t>2035年，</w:t>
      </w:r>
      <w:r>
        <w:rPr>
          <w:rFonts w:hint="eastAsia" w:ascii="Times New Roman" w:hAnsi="Times New Roman" w:eastAsia="方正仿宋_GBK"/>
          <w:sz w:val="32"/>
          <w:szCs w:val="32"/>
          <w:lang w:val="en-US" w:eastAsia="zh-CN"/>
        </w:rPr>
        <w:t>其中近期至2030年，远期至2035年。到2030年</w:t>
      </w:r>
      <w:r>
        <w:rPr>
          <w:rFonts w:ascii="Times New Roman" w:hAnsi="Times New Roman" w:eastAsia="方正仿宋_GBK"/>
          <w:sz w:val="32"/>
          <w:szCs w:val="32"/>
        </w:rPr>
        <w:t>，完成</w:t>
      </w:r>
      <w:r>
        <w:rPr>
          <w:rFonts w:hint="eastAsia" w:ascii="Times New Roman" w:hAnsi="Times New Roman" w:eastAsia="方正仿宋_GBK"/>
          <w:sz w:val="32"/>
          <w:szCs w:val="32"/>
        </w:rPr>
        <w:t>“</w:t>
      </w:r>
      <w:r>
        <w:rPr>
          <w:rFonts w:ascii="Times New Roman" w:hAnsi="Times New Roman" w:eastAsia="方正仿宋_GBK"/>
          <w:sz w:val="32"/>
          <w:szCs w:val="32"/>
        </w:rPr>
        <w:t>四类空间</w:t>
      </w:r>
      <w:r>
        <w:rPr>
          <w:rFonts w:hint="eastAsia" w:ascii="Times New Roman" w:hAnsi="Times New Roman" w:eastAsia="方正仿宋_GBK"/>
          <w:sz w:val="32"/>
          <w:szCs w:val="32"/>
        </w:rPr>
        <w:t>”</w:t>
      </w:r>
      <w:r>
        <w:rPr>
          <w:rFonts w:ascii="Times New Roman" w:hAnsi="Times New Roman" w:eastAsia="方正仿宋_GBK"/>
          <w:sz w:val="32"/>
          <w:szCs w:val="32"/>
        </w:rPr>
        <w:t>上图入库，建成省级智慧耕地保护监管体系，重大工程</w:t>
      </w:r>
      <w:r>
        <w:rPr>
          <w:rFonts w:hint="eastAsia" w:ascii="Times New Roman" w:hAnsi="Times New Roman" w:eastAsia="方正仿宋_GBK"/>
          <w:sz w:val="32"/>
          <w:szCs w:val="32"/>
          <w:lang w:val="en-US" w:eastAsia="zh-CN"/>
        </w:rPr>
        <w:t>逐步</w:t>
      </w:r>
      <w:r>
        <w:rPr>
          <w:rFonts w:ascii="Times New Roman" w:hAnsi="Times New Roman" w:eastAsia="方正仿宋_GBK"/>
          <w:sz w:val="32"/>
          <w:szCs w:val="32"/>
        </w:rPr>
        <w:t>落地，完成耕林重叠地块分类处置；</w:t>
      </w:r>
      <w:r>
        <w:rPr>
          <w:rFonts w:hint="eastAsia" w:ascii="Times New Roman" w:hAnsi="Times New Roman" w:eastAsia="方正仿宋_GBK"/>
          <w:sz w:val="32"/>
          <w:szCs w:val="32"/>
          <w:lang w:val="en-US" w:eastAsia="zh-CN"/>
        </w:rPr>
        <w:t>到</w:t>
      </w:r>
      <w:r>
        <w:rPr>
          <w:rFonts w:ascii="Times New Roman" w:hAnsi="Times New Roman" w:eastAsia="方正仿宋_GBK"/>
          <w:sz w:val="32"/>
          <w:szCs w:val="32"/>
        </w:rPr>
        <w:t>2035年，形成法治化</w:t>
      </w:r>
      <w:r>
        <w:rPr>
          <w:rFonts w:hint="eastAsia" w:ascii="Times New Roman" w:hAnsi="Times New Roman" w:eastAsia="方正仿宋_GBK"/>
          <w:sz w:val="32"/>
          <w:szCs w:val="32"/>
        </w:rPr>
        <w:t>、</w:t>
      </w:r>
      <w:r>
        <w:rPr>
          <w:rFonts w:ascii="Times New Roman" w:hAnsi="Times New Roman" w:eastAsia="方正仿宋_GBK"/>
          <w:sz w:val="32"/>
          <w:szCs w:val="32"/>
        </w:rPr>
        <w:t>数</w:t>
      </w:r>
      <w:r>
        <w:rPr>
          <w:rFonts w:hint="eastAsia" w:ascii="Times New Roman" w:hAnsi="Times New Roman" w:eastAsia="方正仿宋_GBK"/>
          <w:sz w:val="32"/>
          <w:szCs w:val="32"/>
        </w:rPr>
        <w:t>智</w:t>
      </w:r>
      <w:r>
        <w:rPr>
          <w:rFonts w:ascii="Times New Roman" w:hAnsi="Times New Roman" w:eastAsia="方正仿宋_GBK"/>
          <w:sz w:val="32"/>
          <w:szCs w:val="32"/>
        </w:rPr>
        <w:t>化</w:t>
      </w:r>
      <w:r>
        <w:rPr>
          <w:rFonts w:hint="eastAsia" w:ascii="Times New Roman" w:hAnsi="Times New Roman" w:eastAsia="方正仿宋_GBK"/>
          <w:sz w:val="32"/>
          <w:szCs w:val="32"/>
        </w:rPr>
        <w:t>、</w:t>
      </w:r>
      <w:r>
        <w:rPr>
          <w:rFonts w:ascii="Times New Roman" w:hAnsi="Times New Roman" w:eastAsia="方正仿宋_GBK"/>
          <w:sz w:val="32"/>
          <w:szCs w:val="32"/>
        </w:rPr>
        <w:t>一体化长效治理机制，江淮粮仓产能</w:t>
      </w:r>
      <w:r>
        <w:rPr>
          <w:rFonts w:hint="eastAsia" w:ascii="Times New Roman" w:hAnsi="Times New Roman" w:eastAsia="方正仿宋_GBK"/>
          <w:sz w:val="32"/>
          <w:szCs w:val="32"/>
        </w:rPr>
        <w:t>更加</w:t>
      </w:r>
      <w:r>
        <w:rPr>
          <w:rFonts w:ascii="Times New Roman" w:hAnsi="Times New Roman" w:eastAsia="方正仿宋_GBK"/>
          <w:sz w:val="32"/>
          <w:szCs w:val="32"/>
        </w:rPr>
        <w:t>稳固，生态屏障</w:t>
      </w:r>
      <w:r>
        <w:rPr>
          <w:rFonts w:hint="eastAsia" w:ascii="Times New Roman" w:hAnsi="Times New Roman" w:eastAsia="方正仿宋_GBK"/>
          <w:sz w:val="32"/>
          <w:szCs w:val="32"/>
        </w:rPr>
        <w:t>更加安全</w:t>
      </w:r>
      <w:r>
        <w:rPr>
          <w:rFonts w:ascii="Times New Roman" w:hAnsi="Times New Roman" w:eastAsia="方正仿宋_GBK"/>
          <w:sz w:val="32"/>
          <w:szCs w:val="32"/>
        </w:rPr>
        <w:t>，服务全省高质量发展</w:t>
      </w:r>
      <w:r>
        <w:rPr>
          <w:rFonts w:hint="eastAsia" w:ascii="Times New Roman" w:hAnsi="Times New Roman" w:eastAsia="方正仿宋_GBK"/>
          <w:sz w:val="32"/>
          <w:szCs w:val="32"/>
        </w:rPr>
        <w:t>更加有力</w:t>
      </w:r>
      <w:r>
        <w:rPr>
          <w:rFonts w:ascii="Times New Roman" w:hAnsi="Times New Roman" w:eastAsia="方正仿宋_GBK"/>
          <w:sz w:val="32"/>
          <w:szCs w:val="32"/>
        </w:rPr>
        <w:t>。</w:t>
      </w:r>
    </w:p>
    <w:tbl>
      <w:tblPr>
        <w:tblStyle w:val="7"/>
        <w:tblW w:w="81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3351"/>
        <w:gridCol w:w="2126"/>
        <w:gridCol w:w="2720"/>
      </w:tblGrid>
      <w:tr w14:paraId="4D1ED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8197" w:type="dxa"/>
            <w:gridSpan w:val="3"/>
            <w:noWrap w:val="0"/>
            <w:tcMar>
              <w:top w:w="120" w:type="dxa"/>
              <w:left w:w="120" w:type="dxa"/>
              <w:bottom w:w="120" w:type="dxa"/>
              <w:right w:w="120" w:type="dxa"/>
            </w:tcMar>
            <w:vAlign w:val="center"/>
          </w:tcPr>
          <w:p w14:paraId="03A021D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方正黑体_GBK" w:cs="Times New Roman"/>
                <w:sz w:val="28"/>
                <w:szCs w:val="28"/>
                <w:highlight w:val="none"/>
              </w:rPr>
              <w:t>专栏1</w:t>
            </w:r>
            <w:r>
              <w:rPr>
                <w:rFonts w:hint="eastAsia" w:ascii="Times New Roman" w:hAnsi="Times New Roman" w:eastAsia="方正黑体_GBK" w:cs="Times New Roman"/>
                <w:sz w:val="28"/>
                <w:szCs w:val="28"/>
                <w:highlight w:val="none"/>
                <w:lang w:val="en-US" w:eastAsia="zh-CN"/>
              </w:rPr>
              <w:t xml:space="preserve">  </w:t>
            </w:r>
            <w:r>
              <w:rPr>
                <w:rFonts w:hint="eastAsia" w:ascii="Times New Roman" w:hAnsi="Times New Roman" w:eastAsia="方正黑体_GBK" w:cs="Times New Roman"/>
                <w:sz w:val="28"/>
                <w:szCs w:val="28"/>
                <w:highlight w:val="none"/>
              </w:rPr>
              <w:t>规划期内耕地保护和国土绿化主要指标</w:t>
            </w:r>
          </w:p>
        </w:tc>
      </w:tr>
      <w:tr w14:paraId="66205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3351" w:type="dxa"/>
            <w:noWrap w:val="0"/>
            <w:tcMar>
              <w:top w:w="120" w:type="dxa"/>
              <w:left w:w="120" w:type="dxa"/>
              <w:bottom w:w="120" w:type="dxa"/>
              <w:right w:w="120" w:type="dxa"/>
            </w:tcMar>
            <w:vAlign w:val="center"/>
          </w:tcPr>
          <w:p w14:paraId="58A028D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ascii="Times New Roman" w:hAnsi="Times New Roman" w:eastAsia="黑体"/>
                <w:sz w:val="28"/>
                <w:szCs w:val="28"/>
              </w:rPr>
              <w:t>指标</w:t>
            </w:r>
          </w:p>
        </w:tc>
        <w:tc>
          <w:tcPr>
            <w:tcW w:w="2126" w:type="dxa"/>
            <w:noWrap w:val="0"/>
            <w:tcMar>
              <w:top w:w="120" w:type="dxa"/>
              <w:left w:w="120" w:type="dxa"/>
              <w:bottom w:w="120" w:type="dxa"/>
              <w:right w:w="120" w:type="dxa"/>
            </w:tcMar>
            <w:vAlign w:val="center"/>
          </w:tcPr>
          <w:p w14:paraId="5283B6D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ascii="Times New Roman" w:hAnsi="Times New Roman" w:eastAsia="黑体"/>
                <w:sz w:val="28"/>
                <w:szCs w:val="28"/>
              </w:rPr>
              <w:t>2035年目标</w:t>
            </w:r>
          </w:p>
        </w:tc>
        <w:tc>
          <w:tcPr>
            <w:tcW w:w="2720" w:type="dxa"/>
            <w:noWrap w:val="0"/>
            <w:tcMar>
              <w:top w:w="120" w:type="dxa"/>
              <w:left w:w="120" w:type="dxa"/>
              <w:bottom w:w="120" w:type="dxa"/>
              <w:right w:w="120" w:type="dxa"/>
            </w:tcMar>
            <w:vAlign w:val="center"/>
          </w:tcPr>
          <w:p w14:paraId="2B6F6F5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ascii="Times New Roman" w:hAnsi="Times New Roman" w:eastAsia="黑体"/>
                <w:sz w:val="28"/>
                <w:szCs w:val="28"/>
              </w:rPr>
              <w:t>属性</w:t>
            </w:r>
          </w:p>
        </w:tc>
      </w:tr>
      <w:tr w14:paraId="21C4A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3351" w:type="dxa"/>
            <w:noWrap w:val="0"/>
            <w:tcMar>
              <w:top w:w="120" w:type="dxa"/>
              <w:left w:w="120" w:type="dxa"/>
              <w:bottom w:w="120" w:type="dxa"/>
              <w:right w:w="120" w:type="dxa"/>
            </w:tcMar>
            <w:vAlign w:val="center"/>
          </w:tcPr>
          <w:p w14:paraId="78995E3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sz w:val="28"/>
                <w:szCs w:val="28"/>
              </w:rPr>
            </w:pPr>
            <w:r>
              <w:rPr>
                <w:rFonts w:ascii="Times New Roman" w:hAnsi="Times New Roman" w:eastAsia="方正仿宋_GBK"/>
                <w:sz w:val="28"/>
                <w:szCs w:val="28"/>
              </w:rPr>
              <w:t>耕地</w:t>
            </w:r>
            <w:r>
              <w:rPr>
                <w:rFonts w:hint="eastAsia" w:ascii="Times New Roman" w:hAnsi="Times New Roman" w:eastAsia="方正仿宋_GBK"/>
                <w:sz w:val="28"/>
                <w:szCs w:val="28"/>
              </w:rPr>
              <w:t>保有量</w:t>
            </w:r>
          </w:p>
        </w:tc>
        <w:tc>
          <w:tcPr>
            <w:tcW w:w="2126" w:type="dxa"/>
            <w:noWrap w:val="0"/>
            <w:tcMar>
              <w:top w:w="120" w:type="dxa"/>
              <w:left w:w="120" w:type="dxa"/>
              <w:bottom w:w="120" w:type="dxa"/>
              <w:right w:w="120" w:type="dxa"/>
            </w:tcMar>
            <w:vAlign w:val="center"/>
          </w:tcPr>
          <w:p w14:paraId="18BABA2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sz w:val="28"/>
                <w:szCs w:val="28"/>
              </w:rPr>
            </w:pPr>
            <w:r>
              <w:rPr>
                <w:rFonts w:ascii="Times New Roman" w:hAnsi="Times New Roman" w:eastAsia="方正仿宋_GBK"/>
                <w:sz w:val="28"/>
                <w:szCs w:val="28"/>
              </w:rPr>
              <w:t>≥8115.00万亩</w:t>
            </w:r>
          </w:p>
        </w:tc>
        <w:tc>
          <w:tcPr>
            <w:tcW w:w="2720" w:type="dxa"/>
            <w:noWrap w:val="0"/>
            <w:tcMar>
              <w:top w:w="120" w:type="dxa"/>
              <w:left w:w="120" w:type="dxa"/>
              <w:bottom w:w="120" w:type="dxa"/>
              <w:right w:w="120" w:type="dxa"/>
            </w:tcMar>
            <w:vAlign w:val="center"/>
          </w:tcPr>
          <w:p w14:paraId="281A159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sz w:val="28"/>
                <w:szCs w:val="28"/>
              </w:rPr>
            </w:pPr>
            <w:r>
              <w:rPr>
                <w:rFonts w:ascii="Times New Roman" w:hAnsi="Times New Roman" w:eastAsia="方正仿宋_GBK"/>
                <w:sz w:val="28"/>
                <w:szCs w:val="28"/>
              </w:rPr>
              <w:t>约束性</w:t>
            </w:r>
          </w:p>
        </w:tc>
      </w:tr>
      <w:tr w14:paraId="28B8F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3351" w:type="dxa"/>
            <w:noWrap w:val="0"/>
            <w:tcMar>
              <w:top w:w="120" w:type="dxa"/>
              <w:left w:w="120" w:type="dxa"/>
              <w:bottom w:w="120" w:type="dxa"/>
              <w:right w:w="120" w:type="dxa"/>
            </w:tcMar>
            <w:vAlign w:val="center"/>
          </w:tcPr>
          <w:p w14:paraId="5FF1458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sz w:val="28"/>
                <w:szCs w:val="28"/>
              </w:rPr>
            </w:pPr>
            <w:r>
              <w:rPr>
                <w:rFonts w:ascii="Times New Roman" w:hAnsi="Times New Roman" w:eastAsia="方正仿宋_GBK"/>
                <w:sz w:val="28"/>
                <w:szCs w:val="28"/>
              </w:rPr>
              <w:t>永久基本农田保护面积</w:t>
            </w:r>
          </w:p>
        </w:tc>
        <w:tc>
          <w:tcPr>
            <w:tcW w:w="2126" w:type="dxa"/>
            <w:noWrap w:val="0"/>
            <w:tcMar>
              <w:top w:w="120" w:type="dxa"/>
              <w:left w:w="120" w:type="dxa"/>
              <w:bottom w:w="120" w:type="dxa"/>
              <w:right w:w="120" w:type="dxa"/>
            </w:tcMar>
            <w:vAlign w:val="center"/>
          </w:tcPr>
          <w:p w14:paraId="70351DA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sz w:val="28"/>
                <w:szCs w:val="28"/>
              </w:rPr>
            </w:pPr>
            <w:r>
              <w:rPr>
                <w:rFonts w:ascii="Times New Roman" w:hAnsi="Times New Roman" w:eastAsia="方正仿宋_GBK"/>
                <w:sz w:val="28"/>
                <w:szCs w:val="28"/>
              </w:rPr>
              <w:t>≥7143.56万亩</w:t>
            </w:r>
          </w:p>
        </w:tc>
        <w:tc>
          <w:tcPr>
            <w:tcW w:w="2720" w:type="dxa"/>
            <w:noWrap w:val="0"/>
            <w:tcMar>
              <w:top w:w="120" w:type="dxa"/>
              <w:left w:w="120" w:type="dxa"/>
              <w:bottom w:w="120" w:type="dxa"/>
              <w:right w:w="120" w:type="dxa"/>
            </w:tcMar>
            <w:vAlign w:val="center"/>
          </w:tcPr>
          <w:p w14:paraId="032E192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sz w:val="28"/>
                <w:szCs w:val="28"/>
              </w:rPr>
            </w:pPr>
            <w:r>
              <w:rPr>
                <w:rFonts w:ascii="Times New Roman" w:hAnsi="Times New Roman" w:eastAsia="方正仿宋_GBK"/>
                <w:sz w:val="28"/>
                <w:szCs w:val="28"/>
              </w:rPr>
              <w:t>约束性</w:t>
            </w:r>
          </w:p>
        </w:tc>
      </w:tr>
      <w:tr w14:paraId="2B9DA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3351" w:type="dxa"/>
            <w:noWrap w:val="0"/>
            <w:tcMar>
              <w:top w:w="120" w:type="dxa"/>
              <w:left w:w="120" w:type="dxa"/>
              <w:bottom w:w="120" w:type="dxa"/>
              <w:right w:w="120" w:type="dxa"/>
            </w:tcMar>
            <w:vAlign w:val="center"/>
          </w:tcPr>
          <w:p w14:paraId="450301A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sz w:val="28"/>
                <w:szCs w:val="28"/>
              </w:rPr>
            </w:pPr>
            <w:r>
              <w:rPr>
                <w:rFonts w:ascii="Times New Roman" w:hAnsi="Times New Roman" w:eastAsia="方正仿宋_GBK"/>
                <w:sz w:val="28"/>
                <w:szCs w:val="28"/>
              </w:rPr>
              <w:t>森林覆盖率</w:t>
            </w:r>
          </w:p>
        </w:tc>
        <w:tc>
          <w:tcPr>
            <w:tcW w:w="2126" w:type="dxa"/>
            <w:noWrap w:val="0"/>
            <w:tcMar>
              <w:top w:w="120" w:type="dxa"/>
              <w:left w:w="120" w:type="dxa"/>
              <w:bottom w:w="120" w:type="dxa"/>
              <w:right w:w="120" w:type="dxa"/>
            </w:tcMar>
            <w:vAlign w:val="center"/>
          </w:tcPr>
          <w:p w14:paraId="1746C0F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sz w:val="28"/>
                <w:szCs w:val="28"/>
              </w:rPr>
            </w:pPr>
            <w:r>
              <w:rPr>
                <w:rFonts w:ascii="Times New Roman" w:hAnsi="Times New Roman" w:eastAsia="方正仿宋_GBK"/>
                <w:sz w:val="28"/>
                <w:szCs w:val="28"/>
              </w:rPr>
              <w:t>≥28.06%</w:t>
            </w:r>
          </w:p>
        </w:tc>
        <w:tc>
          <w:tcPr>
            <w:tcW w:w="2720" w:type="dxa"/>
            <w:noWrap w:val="0"/>
            <w:tcMar>
              <w:top w:w="120" w:type="dxa"/>
              <w:left w:w="120" w:type="dxa"/>
              <w:bottom w:w="120" w:type="dxa"/>
              <w:right w:w="120" w:type="dxa"/>
            </w:tcMar>
            <w:vAlign w:val="center"/>
          </w:tcPr>
          <w:p w14:paraId="509710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sz w:val="28"/>
                <w:szCs w:val="28"/>
              </w:rPr>
            </w:pPr>
            <w:r>
              <w:rPr>
                <w:rFonts w:ascii="Times New Roman" w:hAnsi="Times New Roman" w:eastAsia="方正仿宋_GBK"/>
                <w:sz w:val="28"/>
                <w:szCs w:val="28"/>
              </w:rPr>
              <w:t>约束性</w:t>
            </w:r>
          </w:p>
        </w:tc>
      </w:tr>
      <w:tr w14:paraId="4997F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3351" w:type="dxa"/>
            <w:noWrap w:val="0"/>
            <w:tcMar>
              <w:top w:w="120" w:type="dxa"/>
              <w:left w:w="120" w:type="dxa"/>
              <w:bottom w:w="120" w:type="dxa"/>
              <w:right w:w="120" w:type="dxa"/>
            </w:tcMar>
            <w:vAlign w:val="center"/>
          </w:tcPr>
          <w:p w14:paraId="2E1E1C2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sz w:val="28"/>
                <w:szCs w:val="28"/>
              </w:rPr>
            </w:pPr>
            <w:r>
              <w:rPr>
                <w:rFonts w:ascii="Times New Roman" w:hAnsi="Times New Roman" w:eastAsia="方正仿宋_GBK"/>
                <w:sz w:val="28"/>
                <w:szCs w:val="28"/>
              </w:rPr>
              <w:t>耕地空间</w:t>
            </w:r>
          </w:p>
        </w:tc>
        <w:tc>
          <w:tcPr>
            <w:tcW w:w="2126" w:type="dxa"/>
            <w:noWrap w:val="0"/>
            <w:tcMar>
              <w:top w:w="120" w:type="dxa"/>
              <w:left w:w="120" w:type="dxa"/>
              <w:bottom w:w="120" w:type="dxa"/>
              <w:right w:w="120" w:type="dxa"/>
            </w:tcMar>
            <w:vAlign w:val="center"/>
          </w:tcPr>
          <w:p w14:paraId="4242A5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sz w:val="28"/>
                <w:szCs w:val="28"/>
              </w:rPr>
            </w:pPr>
            <w:r>
              <w:rPr>
                <w:rFonts w:ascii="Times New Roman" w:hAnsi="Times New Roman" w:eastAsia="方正仿宋_GBK"/>
                <w:sz w:val="28"/>
                <w:szCs w:val="28"/>
              </w:rPr>
              <w:t>82</w:t>
            </w:r>
            <w:r>
              <w:rPr>
                <w:rFonts w:hint="eastAsia" w:ascii="Times New Roman" w:hAnsi="Times New Roman" w:eastAsia="方正仿宋_GBK"/>
                <w:sz w:val="28"/>
                <w:szCs w:val="28"/>
              </w:rPr>
              <w:t>30.50</w:t>
            </w:r>
            <w:r>
              <w:rPr>
                <w:rFonts w:ascii="Times New Roman" w:hAnsi="Times New Roman" w:eastAsia="方正仿宋_GBK"/>
                <w:sz w:val="28"/>
                <w:szCs w:val="28"/>
              </w:rPr>
              <w:t>万亩</w:t>
            </w:r>
          </w:p>
        </w:tc>
        <w:tc>
          <w:tcPr>
            <w:tcW w:w="2720" w:type="dxa"/>
            <w:noWrap w:val="0"/>
            <w:tcMar>
              <w:top w:w="120" w:type="dxa"/>
              <w:left w:w="120" w:type="dxa"/>
              <w:bottom w:w="120" w:type="dxa"/>
              <w:right w:w="120" w:type="dxa"/>
            </w:tcMar>
            <w:vAlign w:val="center"/>
          </w:tcPr>
          <w:p w14:paraId="75BCF6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sz w:val="28"/>
                <w:szCs w:val="28"/>
              </w:rPr>
            </w:pPr>
            <w:r>
              <w:rPr>
                <w:rFonts w:ascii="Times New Roman" w:hAnsi="Times New Roman" w:eastAsia="方正仿宋_GBK"/>
                <w:sz w:val="28"/>
                <w:szCs w:val="28"/>
              </w:rPr>
              <w:t>预期性</w:t>
            </w:r>
          </w:p>
        </w:tc>
      </w:tr>
      <w:tr w14:paraId="04AFF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3351" w:type="dxa"/>
            <w:noWrap w:val="0"/>
            <w:tcMar>
              <w:top w:w="120" w:type="dxa"/>
              <w:left w:w="120" w:type="dxa"/>
              <w:bottom w:w="120" w:type="dxa"/>
              <w:right w:w="120" w:type="dxa"/>
            </w:tcMar>
            <w:vAlign w:val="center"/>
          </w:tcPr>
          <w:p w14:paraId="3D85252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sz w:val="28"/>
                <w:szCs w:val="28"/>
              </w:rPr>
            </w:pPr>
            <w:r>
              <w:rPr>
                <w:rFonts w:ascii="Times New Roman" w:hAnsi="Times New Roman" w:eastAsia="方正仿宋_GBK"/>
                <w:sz w:val="28"/>
                <w:szCs w:val="28"/>
              </w:rPr>
              <w:t>林地空间</w:t>
            </w:r>
          </w:p>
        </w:tc>
        <w:tc>
          <w:tcPr>
            <w:tcW w:w="2126" w:type="dxa"/>
            <w:noWrap w:val="0"/>
            <w:tcMar>
              <w:top w:w="120" w:type="dxa"/>
              <w:left w:w="120" w:type="dxa"/>
              <w:bottom w:w="120" w:type="dxa"/>
              <w:right w:w="120" w:type="dxa"/>
            </w:tcMar>
            <w:vAlign w:val="center"/>
          </w:tcPr>
          <w:p w14:paraId="02DBAB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sz w:val="28"/>
                <w:szCs w:val="28"/>
              </w:rPr>
            </w:pPr>
            <w:r>
              <w:rPr>
                <w:rFonts w:ascii="Times New Roman" w:hAnsi="Times New Roman" w:eastAsia="方正仿宋_GBK"/>
                <w:sz w:val="28"/>
                <w:szCs w:val="28"/>
              </w:rPr>
              <w:t>61</w:t>
            </w:r>
            <w:r>
              <w:rPr>
                <w:rFonts w:hint="eastAsia" w:ascii="Times New Roman" w:hAnsi="Times New Roman" w:eastAsia="方正仿宋_GBK"/>
                <w:sz w:val="28"/>
                <w:szCs w:val="28"/>
              </w:rPr>
              <w:t>78.24</w:t>
            </w:r>
            <w:r>
              <w:rPr>
                <w:rFonts w:ascii="Times New Roman" w:hAnsi="Times New Roman" w:eastAsia="方正仿宋_GBK"/>
                <w:sz w:val="28"/>
                <w:szCs w:val="28"/>
              </w:rPr>
              <w:t>万亩</w:t>
            </w:r>
          </w:p>
        </w:tc>
        <w:tc>
          <w:tcPr>
            <w:tcW w:w="2720" w:type="dxa"/>
            <w:noWrap w:val="0"/>
            <w:tcMar>
              <w:top w:w="120" w:type="dxa"/>
              <w:left w:w="120" w:type="dxa"/>
              <w:bottom w:w="120" w:type="dxa"/>
              <w:right w:w="120" w:type="dxa"/>
            </w:tcMar>
            <w:vAlign w:val="center"/>
          </w:tcPr>
          <w:p w14:paraId="45DACB6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sz w:val="28"/>
                <w:szCs w:val="28"/>
              </w:rPr>
            </w:pPr>
            <w:r>
              <w:rPr>
                <w:rFonts w:ascii="Times New Roman" w:hAnsi="Times New Roman" w:eastAsia="方正仿宋_GBK"/>
                <w:sz w:val="28"/>
                <w:szCs w:val="28"/>
              </w:rPr>
              <w:t>预期性</w:t>
            </w:r>
          </w:p>
        </w:tc>
      </w:tr>
      <w:tr w14:paraId="3161F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3351" w:type="dxa"/>
            <w:noWrap w:val="0"/>
            <w:tcMar>
              <w:top w:w="120" w:type="dxa"/>
              <w:left w:w="120" w:type="dxa"/>
              <w:bottom w:w="120" w:type="dxa"/>
              <w:right w:w="120" w:type="dxa"/>
            </w:tcMar>
            <w:vAlign w:val="center"/>
          </w:tcPr>
          <w:p w14:paraId="19FEEBE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sz w:val="28"/>
                <w:szCs w:val="28"/>
              </w:rPr>
            </w:pPr>
            <w:r>
              <w:rPr>
                <w:rFonts w:ascii="Times New Roman" w:hAnsi="Times New Roman" w:eastAsia="方正仿宋_GBK"/>
                <w:sz w:val="28"/>
                <w:szCs w:val="28"/>
              </w:rPr>
              <w:t>耕地补充空间</w:t>
            </w:r>
          </w:p>
        </w:tc>
        <w:tc>
          <w:tcPr>
            <w:tcW w:w="2126" w:type="dxa"/>
            <w:noWrap w:val="0"/>
            <w:tcMar>
              <w:top w:w="120" w:type="dxa"/>
              <w:left w:w="120" w:type="dxa"/>
              <w:bottom w:w="120" w:type="dxa"/>
              <w:right w:w="120" w:type="dxa"/>
            </w:tcMar>
            <w:vAlign w:val="center"/>
          </w:tcPr>
          <w:p w14:paraId="46043F9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sz w:val="28"/>
                <w:szCs w:val="28"/>
              </w:rPr>
            </w:pPr>
            <w:r>
              <w:rPr>
                <w:rFonts w:hint="eastAsia" w:ascii="Times New Roman" w:hAnsi="Times New Roman" w:eastAsia="方正仿宋_GBK"/>
                <w:sz w:val="28"/>
                <w:szCs w:val="28"/>
              </w:rPr>
              <w:t>812.02</w:t>
            </w:r>
            <w:r>
              <w:rPr>
                <w:rFonts w:ascii="Times New Roman" w:hAnsi="Times New Roman" w:eastAsia="方正仿宋_GBK"/>
                <w:sz w:val="28"/>
                <w:szCs w:val="28"/>
              </w:rPr>
              <w:t>万亩</w:t>
            </w:r>
          </w:p>
        </w:tc>
        <w:tc>
          <w:tcPr>
            <w:tcW w:w="2720" w:type="dxa"/>
            <w:noWrap w:val="0"/>
            <w:tcMar>
              <w:top w:w="120" w:type="dxa"/>
              <w:left w:w="120" w:type="dxa"/>
              <w:bottom w:w="120" w:type="dxa"/>
              <w:right w:w="120" w:type="dxa"/>
            </w:tcMar>
            <w:vAlign w:val="center"/>
          </w:tcPr>
          <w:p w14:paraId="305D1B6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sz w:val="28"/>
                <w:szCs w:val="28"/>
              </w:rPr>
            </w:pPr>
            <w:r>
              <w:rPr>
                <w:rFonts w:ascii="Times New Roman" w:hAnsi="Times New Roman" w:eastAsia="方正仿宋_GBK"/>
                <w:sz w:val="28"/>
                <w:szCs w:val="28"/>
              </w:rPr>
              <w:t>预期性</w:t>
            </w:r>
          </w:p>
        </w:tc>
      </w:tr>
      <w:tr w14:paraId="2292E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3351" w:type="dxa"/>
            <w:noWrap w:val="0"/>
            <w:tcMar>
              <w:top w:w="120" w:type="dxa"/>
              <w:left w:w="120" w:type="dxa"/>
              <w:bottom w:w="120" w:type="dxa"/>
              <w:right w:w="120" w:type="dxa"/>
            </w:tcMar>
            <w:vAlign w:val="center"/>
          </w:tcPr>
          <w:p w14:paraId="244A873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sz w:val="28"/>
                <w:szCs w:val="28"/>
              </w:rPr>
            </w:pPr>
            <w:r>
              <w:rPr>
                <w:rFonts w:ascii="Times New Roman" w:hAnsi="Times New Roman" w:eastAsia="方正仿宋_GBK"/>
                <w:sz w:val="28"/>
                <w:szCs w:val="28"/>
              </w:rPr>
              <w:t>林草补充空间</w:t>
            </w:r>
          </w:p>
        </w:tc>
        <w:tc>
          <w:tcPr>
            <w:tcW w:w="2126" w:type="dxa"/>
            <w:noWrap w:val="0"/>
            <w:tcMar>
              <w:top w:w="120" w:type="dxa"/>
              <w:left w:w="120" w:type="dxa"/>
              <w:bottom w:w="120" w:type="dxa"/>
              <w:right w:w="120" w:type="dxa"/>
            </w:tcMar>
            <w:vAlign w:val="center"/>
          </w:tcPr>
          <w:p w14:paraId="26FB820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sz w:val="28"/>
                <w:szCs w:val="28"/>
              </w:rPr>
            </w:pPr>
            <w:r>
              <w:rPr>
                <w:rFonts w:hint="eastAsia" w:ascii="Times New Roman" w:hAnsi="Times New Roman" w:eastAsia="方正仿宋_GBK"/>
                <w:sz w:val="28"/>
                <w:szCs w:val="28"/>
              </w:rPr>
              <w:t>126.26</w:t>
            </w:r>
            <w:r>
              <w:rPr>
                <w:rFonts w:ascii="Times New Roman" w:hAnsi="Times New Roman" w:eastAsia="方正仿宋_GBK"/>
                <w:sz w:val="28"/>
                <w:szCs w:val="28"/>
              </w:rPr>
              <w:t>万亩</w:t>
            </w:r>
          </w:p>
        </w:tc>
        <w:tc>
          <w:tcPr>
            <w:tcW w:w="2720" w:type="dxa"/>
            <w:noWrap w:val="0"/>
            <w:tcMar>
              <w:top w:w="120" w:type="dxa"/>
              <w:left w:w="120" w:type="dxa"/>
              <w:bottom w:w="120" w:type="dxa"/>
              <w:right w:w="120" w:type="dxa"/>
            </w:tcMar>
            <w:vAlign w:val="center"/>
          </w:tcPr>
          <w:p w14:paraId="0F37C87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仿宋_GBK"/>
                <w:sz w:val="28"/>
                <w:szCs w:val="28"/>
              </w:rPr>
            </w:pPr>
            <w:r>
              <w:rPr>
                <w:rFonts w:ascii="Times New Roman" w:hAnsi="Times New Roman" w:eastAsia="方正仿宋_GBK"/>
                <w:sz w:val="28"/>
                <w:szCs w:val="28"/>
              </w:rPr>
              <w:t>预期性</w:t>
            </w:r>
          </w:p>
        </w:tc>
      </w:tr>
    </w:tbl>
    <w:p w14:paraId="09BB7D3A">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二、优化空间统筹架构，明晰耕林布局导向</w:t>
      </w:r>
    </w:p>
    <w:p w14:paraId="5AF97517">
      <w:pPr>
        <w:keepNext w:val="0"/>
        <w:keepLines w:val="0"/>
        <w:pageBreakBefore w:val="0"/>
        <w:kinsoku/>
        <w:wordWrap/>
        <w:overflowPunct/>
        <w:topLinePunct w:val="0"/>
        <w:autoSpaceDE/>
        <w:autoSpaceDN/>
        <w:bidi w:val="0"/>
        <w:adjustRightInd/>
        <w:snapToGrid/>
        <w:spacing w:line="560" w:lineRule="exact"/>
        <w:ind w:firstLine="641"/>
        <w:textAlignment w:val="auto"/>
        <w:rPr>
          <w:rFonts w:hint="eastAsia" w:ascii="Times New Roman" w:hAnsi="Times New Roman" w:eastAsia="方正仿宋_GBK"/>
          <w:sz w:val="32"/>
          <w:szCs w:val="32"/>
          <w:lang w:val="en-US" w:eastAsia="zh-CN"/>
        </w:rPr>
      </w:pPr>
      <w:r>
        <w:rPr>
          <w:rFonts w:hint="eastAsia" w:ascii="方正楷体_GBK" w:hAnsi="方正楷体_GBK" w:eastAsia="方正楷体_GBK" w:cs="方正楷体_GBK"/>
          <w:sz w:val="32"/>
          <w:szCs w:val="32"/>
          <w:lang w:val="en-US" w:eastAsia="zh-CN"/>
        </w:rPr>
        <w:t>统筹划定“四类空间”。</w:t>
      </w:r>
      <w:r>
        <w:rPr>
          <w:rFonts w:ascii="Times New Roman" w:hAnsi="Times New Roman" w:eastAsia="方正仿宋_GBK"/>
          <w:sz w:val="32"/>
          <w:szCs w:val="32"/>
        </w:rPr>
        <w:t>立足全省资源禀赋，</w:t>
      </w:r>
      <w:r>
        <w:rPr>
          <w:rFonts w:hint="eastAsia" w:ascii="Times New Roman" w:hAnsi="Times New Roman" w:eastAsia="方正仿宋_GBK"/>
          <w:sz w:val="32"/>
          <w:szCs w:val="32"/>
          <w:lang w:val="en-US" w:eastAsia="zh-CN"/>
        </w:rPr>
        <w:t>统筹划定耕地保护空间和林地保护空间，将可</w:t>
      </w:r>
      <w:r>
        <w:rPr>
          <w:rFonts w:ascii="Times New Roman" w:hAnsi="Times New Roman" w:eastAsia="方正仿宋_GBK"/>
          <w:sz w:val="32"/>
          <w:szCs w:val="32"/>
        </w:rPr>
        <w:t>长期稳定利用耕地划入耕地空间</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lang w:val="en-US" w:eastAsia="zh-CN"/>
        </w:rPr>
        <w:t>将水土条件适宜的其他农用地、宜耕未利用地、可复垦建设用地划入耕地补充空间；将耕地保护空间外的集中连片林地划</w:t>
      </w:r>
      <w:r>
        <w:rPr>
          <w:rFonts w:hint="eastAsia" w:ascii="Times New Roman" w:hAnsi="Times New Roman" w:eastAsia="方正仿宋_GBK" w:cs="Times New Roman"/>
          <w:sz w:val="32"/>
          <w:szCs w:val="32"/>
          <w:lang w:val="en-US" w:eastAsia="zh-CN"/>
        </w:rPr>
        <w:t>入林地空间</w:t>
      </w:r>
      <w:r>
        <w:rPr>
          <w:rFonts w:hint="eastAsia" w:ascii="Times New Roman" w:hAnsi="Times New Roman" w:eastAsia="方正仿宋_GBK"/>
          <w:sz w:val="32"/>
          <w:szCs w:val="32"/>
          <w:lang w:val="en-US" w:eastAsia="zh-CN"/>
        </w:rPr>
        <w:t>，适宜开展国土绿化实现扩绿的潜在空间划入林草补充空间。</w:t>
      </w:r>
    </w:p>
    <w:p w14:paraId="0BD797CC">
      <w:pPr>
        <w:keepNext w:val="0"/>
        <w:keepLines w:val="0"/>
        <w:pageBreakBefore w:val="0"/>
        <w:kinsoku/>
        <w:wordWrap/>
        <w:overflowPunct/>
        <w:topLinePunct w:val="0"/>
        <w:autoSpaceDE/>
        <w:autoSpaceDN/>
        <w:bidi w:val="0"/>
        <w:adjustRightInd/>
        <w:snapToGrid/>
        <w:spacing w:line="560" w:lineRule="exact"/>
        <w:ind w:firstLine="641"/>
        <w:textAlignment w:val="auto"/>
        <w:rPr>
          <w:rFonts w:hint="eastAsia" w:ascii="Times New Roman" w:hAnsi="Times New Roman" w:eastAsia="方正仿宋_GBK" w:cs="Times New Roman"/>
          <w:sz w:val="32"/>
          <w:szCs w:val="32"/>
          <w:lang w:eastAsia="zh-CN"/>
        </w:rPr>
      </w:pPr>
      <w:r>
        <w:rPr>
          <w:rFonts w:hint="eastAsia" w:ascii="方正楷体_GBK" w:hAnsi="方正楷体_GBK" w:eastAsia="方正楷体_GBK" w:cs="方正楷体_GBK"/>
          <w:sz w:val="32"/>
          <w:szCs w:val="32"/>
          <w:lang w:val="en-US" w:eastAsia="zh-CN"/>
        </w:rPr>
        <w:t>塑造空间协同的耕林空间格局。</w:t>
      </w:r>
      <w:r>
        <w:rPr>
          <w:rFonts w:ascii="Times New Roman" w:hAnsi="Times New Roman" w:eastAsia="方正仿宋_GBK"/>
          <w:sz w:val="32"/>
          <w:szCs w:val="32"/>
        </w:rPr>
        <w:t>统筹农业与生态空间协同管控</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rPr>
        <w:t>优化</w:t>
      </w:r>
      <w:r>
        <w:rPr>
          <w:rFonts w:ascii="Times New Roman" w:hAnsi="Times New Roman" w:eastAsia="方正仿宋_GBK"/>
          <w:sz w:val="32"/>
          <w:szCs w:val="32"/>
        </w:rPr>
        <w:t>“两原两山联丘岗，南水北旱对半耕”耕地保护空间格局，以</w:t>
      </w:r>
      <w:r>
        <w:rPr>
          <w:rFonts w:hint="eastAsia" w:ascii="Times New Roman" w:hAnsi="Times New Roman" w:eastAsia="方正仿宋_GBK"/>
          <w:sz w:val="32"/>
          <w:szCs w:val="32"/>
          <w:lang w:eastAsia="zh-CN"/>
        </w:rPr>
        <w:t>淮北平原</w:t>
      </w:r>
      <w:r>
        <w:rPr>
          <w:rFonts w:ascii="Times New Roman" w:hAnsi="Times New Roman" w:eastAsia="方正仿宋_GBK"/>
          <w:sz w:val="32"/>
          <w:szCs w:val="32"/>
        </w:rPr>
        <w:t>、</w:t>
      </w:r>
      <w:r>
        <w:rPr>
          <w:rFonts w:hint="eastAsia" w:ascii="Times New Roman" w:hAnsi="Times New Roman" w:eastAsia="方正仿宋_GBK"/>
          <w:sz w:val="32"/>
          <w:szCs w:val="32"/>
        </w:rPr>
        <w:t>沿江</w:t>
      </w:r>
      <w:r>
        <w:rPr>
          <w:rFonts w:ascii="Times New Roman" w:hAnsi="Times New Roman" w:eastAsia="方正仿宋_GBK"/>
          <w:sz w:val="32"/>
          <w:szCs w:val="32"/>
        </w:rPr>
        <w:t>平原为核心载体，联动江淮丘陵岗地，兼顾皖西大别山、皖南山区缓坡耕地</w:t>
      </w:r>
      <w:r>
        <w:rPr>
          <w:rFonts w:hint="eastAsia" w:ascii="Times New Roman" w:hAnsi="Times New Roman" w:eastAsia="方正仿宋_GBK"/>
          <w:sz w:val="32"/>
          <w:szCs w:val="32"/>
        </w:rPr>
        <w:t>，</w:t>
      </w:r>
      <w:r>
        <w:rPr>
          <w:rFonts w:ascii="Times New Roman" w:hAnsi="Times New Roman" w:eastAsia="方正仿宋_GBK"/>
          <w:sz w:val="32"/>
          <w:szCs w:val="32"/>
        </w:rPr>
        <w:t>淮河以北以旱地为主，淮河以南以水田为主</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rPr>
        <w:t>实施一体化保护。推行“五区统筹布局、四级差异管控”模式</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rPr>
        <w:t>立足皖南山区、皖西大别山区两大生态屏障核心地位，联动江淮丘陵岗地、沿江平原，兼顾淮北平原防护林体系建设，依托四级林地分类管控举措，构建林地一体化协同保护格局。</w:t>
      </w:r>
      <w:r>
        <w:rPr>
          <w:rFonts w:hint="default" w:ascii="Times New Roman" w:hAnsi="Times New Roman" w:eastAsia="方正仿宋_GBK" w:cs="Times New Roman"/>
          <w:sz w:val="32"/>
          <w:szCs w:val="32"/>
        </w:rPr>
        <w:t>各地分区管控导向应落实到乡镇单元，结合地形坡度、土壤条件、水源条件和现状地类确定具体管控措施</w:t>
      </w:r>
      <w:r>
        <w:rPr>
          <w:rFonts w:hint="eastAsia" w:ascii="Times New Roman" w:hAnsi="Times New Roman" w:eastAsia="方正仿宋_GBK" w:cs="Times New Roman"/>
          <w:sz w:val="32"/>
          <w:szCs w:val="32"/>
          <w:lang w:eastAsia="zh-CN"/>
        </w:rPr>
        <w:t>。</w:t>
      </w:r>
      <w:r>
        <w:rPr>
          <w:rFonts w:ascii="Times New Roman" w:hAnsi="Times New Roman" w:eastAsia="方正仿宋_GBK" w:cs="Times New Roman"/>
          <w:sz w:val="32"/>
          <w:szCs w:val="32"/>
        </w:rPr>
        <w:t>统筹处理历史形成的插花耕地、插花林地，尊重长期形成的农林生产格局，稳妥</w:t>
      </w:r>
      <w:r>
        <w:rPr>
          <w:rFonts w:hint="eastAsia" w:ascii="Times New Roman" w:hAnsi="Times New Roman" w:eastAsia="方正仿宋_GBK" w:cs="Times New Roman"/>
          <w:sz w:val="32"/>
          <w:szCs w:val="32"/>
          <w:lang w:val="en-US" w:eastAsia="zh-CN"/>
        </w:rPr>
        <w:t>有序</w:t>
      </w:r>
      <w:r>
        <w:rPr>
          <w:rFonts w:ascii="Times New Roman" w:hAnsi="Times New Roman" w:eastAsia="方正仿宋_GBK" w:cs="Times New Roman"/>
          <w:sz w:val="32"/>
          <w:szCs w:val="32"/>
        </w:rPr>
        <w:t>处置存量交叉地块，严控新增耕林空间冲突，推动耕地、林地空间布局逐步</w:t>
      </w:r>
      <w:r>
        <w:rPr>
          <w:rFonts w:hint="eastAsia" w:ascii="Times New Roman" w:hAnsi="Times New Roman" w:eastAsia="方正仿宋_GBK" w:cs="Times New Roman"/>
          <w:sz w:val="32"/>
          <w:szCs w:val="32"/>
          <w:lang w:val="en-US" w:eastAsia="zh-CN"/>
        </w:rPr>
        <w:t>实现</w:t>
      </w:r>
      <w:r>
        <w:rPr>
          <w:rFonts w:ascii="Times New Roman" w:hAnsi="Times New Roman" w:eastAsia="方正仿宋_GBK" w:cs="Times New Roman"/>
          <w:sz w:val="32"/>
          <w:szCs w:val="32"/>
        </w:rPr>
        <w:t>连片规整。</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253"/>
        <w:gridCol w:w="1383"/>
        <w:gridCol w:w="3386"/>
        <w:gridCol w:w="2524"/>
      </w:tblGrid>
      <w:tr w14:paraId="718D3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trPr>
        <w:tc>
          <w:tcPr>
            <w:tcW w:w="5000" w:type="pct"/>
            <w:gridSpan w:val="4"/>
            <w:noWrap w:val="0"/>
            <w:tcMar>
              <w:top w:w="120" w:type="dxa"/>
              <w:left w:w="120" w:type="dxa"/>
              <w:bottom w:w="120" w:type="dxa"/>
              <w:right w:w="120" w:type="dxa"/>
            </w:tcMar>
            <w:vAlign w:val="top"/>
          </w:tcPr>
          <w:p w14:paraId="60E0CD2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rPr>
              <w:t>专栏2</w:t>
            </w:r>
            <w:r>
              <w:rPr>
                <w:rFonts w:hint="eastAsia" w:ascii="Times New Roman" w:hAnsi="Times New Roman" w:eastAsia="黑体"/>
                <w:sz w:val="28"/>
                <w:szCs w:val="28"/>
                <w:lang w:val="en-US" w:eastAsia="zh-CN"/>
              </w:rPr>
              <w:t xml:space="preserve">  </w:t>
            </w:r>
            <w:r>
              <w:rPr>
                <w:rFonts w:hint="eastAsia" w:ascii="Times New Roman" w:hAnsi="Times New Roman" w:eastAsia="黑体"/>
                <w:sz w:val="28"/>
                <w:szCs w:val="28"/>
              </w:rPr>
              <w:t>“</w:t>
            </w:r>
            <w:r>
              <w:rPr>
                <w:rFonts w:ascii="Times New Roman" w:hAnsi="Times New Roman" w:eastAsia="黑体"/>
                <w:sz w:val="28"/>
                <w:szCs w:val="28"/>
              </w:rPr>
              <w:t>五大分区</w:t>
            </w:r>
            <w:r>
              <w:rPr>
                <w:rFonts w:hint="eastAsia" w:ascii="Times New Roman" w:hAnsi="Times New Roman" w:eastAsia="黑体"/>
                <w:sz w:val="28"/>
                <w:szCs w:val="28"/>
              </w:rPr>
              <w:t>”</w:t>
            </w:r>
            <w:r>
              <w:rPr>
                <w:rFonts w:ascii="Times New Roman" w:hAnsi="Times New Roman" w:eastAsia="黑体"/>
                <w:sz w:val="28"/>
                <w:szCs w:val="28"/>
              </w:rPr>
              <w:t>耕林保护主要任务</w:t>
            </w:r>
          </w:p>
        </w:tc>
      </w:tr>
      <w:tr w14:paraId="5E6DE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trPr>
        <w:tc>
          <w:tcPr>
            <w:tcW w:w="733" w:type="pct"/>
            <w:noWrap w:val="0"/>
            <w:tcMar>
              <w:top w:w="120" w:type="dxa"/>
              <w:left w:w="120" w:type="dxa"/>
              <w:bottom w:w="120" w:type="dxa"/>
              <w:right w:w="120" w:type="dxa"/>
            </w:tcMar>
            <w:vAlign w:val="top"/>
          </w:tcPr>
          <w:p w14:paraId="6BB43EA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ascii="Times New Roman" w:hAnsi="Times New Roman" w:eastAsia="黑体"/>
                <w:sz w:val="28"/>
                <w:szCs w:val="28"/>
              </w:rPr>
              <w:t>分区</w:t>
            </w:r>
          </w:p>
        </w:tc>
        <w:tc>
          <w:tcPr>
            <w:tcW w:w="809" w:type="pct"/>
            <w:noWrap w:val="0"/>
            <w:tcMar>
              <w:top w:w="120" w:type="dxa"/>
              <w:left w:w="120" w:type="dxa"/>
              <w:bottom w:w="120" w:type="dxa"/>
              <w:right w:w="120" w:type="dxa"/>
            </w:tcMar>
            <w:vAlign w:val="top"/>
          </w:tcPr>
          <w:p w14:paraId="7A3E6DF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highlight w:val="none"/>
                <w:lang w:val="en-US" w:eastAsia="zh-CN"/>
              </w:rPr>
              <w:t>主要</w:t>
            </w:r>
            <w:r>
              <w:rPr>
                <w:rFonts w:ascii="Times New Roman" w:hAnsi="Times New Roman" w:eastAsia="黑体"/>
                <w:sz w:val="28"/>
                <w:szCs w:val="28"/>
                <w:highlight w:val="none"/>
              </w:rPr>
              <w:t>目标</w:t>
            </w:r>
          </w:p>
        </w:tc>
        <w:tc>
          <w:tcPr>
            <w:tcW w:w="1981" w:type="pct"/>
            <w:noWrap w:val="0"/>
            <w:tcMar>
              <w:top w:w="120" w:type="dxa"/>
              <w:left w:w="120" w:type="dxa"/>
              <w:bottom w:w="120" w:type="dxa"/>
              <w:right w:w="120" w:type="dxa"/>
            </w:tcMar>
            <w:vAlign w:val="top"/>
          </w:tcPr>
          <w:p w14:paraId="5C2B338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ascii="Times New Roman" w:hAnsi="Times New Roman" w:eastAsia="黑体"/>
                <w:sz w:val="28"/>
                <w:szCs w:val="28"/>
              </w:rPr>
              <w:t>核心任务</w:t>
            </w:r>
          </w:p>
        </w:tc>
        <w:tc>
          <w:tcPr>
            <w:tcW w:w="1476" w:type="pct"/>
            <w:noWrap w:val="0"/>
            <w:tcMar>
              <w:top w:w="120" w:type="dxa"/>
              <w:left w:w="120" w:type="dxa"/>
              <w:bottom w:w="120" w:type="dxa"/>
              <w:right w:w="120" w:type="dxa"/>
            </w:tcMar>
            <w:vAlign w:val="top"/>
          </w:tcPr>
          <w:p w14:paraId="60B1B65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ascii="Times New Roman" w:hAnsi="Times New Roman" w:eastAsia="黑体"/>
                <w:sz w:val="28"/>
                <w:szCs w:val="28"/>
              </w:rPr>
              <w:t>管控导向</w:t>
            </w:r>
          </w:p>
        </w:tc>
      </w:tr>
      <w:tr w14:paraId="7FED8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trPr>
        <w:tc>
          <w:tcPr>
            <w:tcW w:w="733" w:type="pct"/>
            <w:noWrap w:val="0"/>
            <w:tcMar>
              <w:top w:w="120" w:type="dxa"/>
              <w:left w:w="120" w:type="dxa"/>
              <w:bottom w:w="120" w:type="dxa"/>
              <w:right w:w="120" w:type="dxa"/>
            </w:tcMar>
            <w:vAlign w:val="center"/>
          </w:tcPr>
          <w:p w14:paraId="45B099B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楷体_GBK" w:hAnsi="方正楷体_GBK" w:eastAsia="方正楷体_GBK" w:cs="方正楷体_GBK"/>
                <w:sz w:val="28"/>
                <w:szCs w:val="28"/>
              </w:rPr>
            </w:pPr>
            <w:r>
              <w:rPr>
                <w:rFonts w:hint="eastAsia" w:ascii="方正楷体_GBK" w:hAnsi="方正楷体_GBK" w:eastAsia="方正楷体_GBK" w:cs="方正楷体_GBK"/>
                <w:sz w:val="28"/>
                <w:szCs w:val="28"/>
                <w:lang w:eastAsia="zh-CN"/>
              </w:rPr>
              <w:t>淮北平原</w:t>
            </w:r>
            <w:r>
              <w:rPr>
                <w:rFonts w:hint="eastAsia" w:ascii="方正楷体_GBK" w:hAnsi="方正楷体_GBK" w:eastAsia="方正楷体_GBK" w:cs="方正楷体_GBK"/>
                <w:sz w:val="28"/>
                <w:szCs w:val="28"/>
              </w:rPr>
              <w:t>区</w:t>
            </w:r>
          </w:p>
        </w:tc>
        <w:tc>
          <w:tcPr>
            <w:tcW w:w="809" w:type="pct"/>
            <w:noWrap w:val="0"/>
            <w:tcMar>
              <w:top w:w="120" w:type="dxa"/>
              <w:left w:w="120" w:type="dxa"/>
              <w:bottom w:w="120" w:type="dxa"/>
              <w:right w:w="120" w:type="dxa"/>
            </w:tcMar>
            <w:vAlign w:val="center"/>
          </w:tcPr>
          <w:p w14:paraId="07A2BFBA">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粮食安全保障</w:t>
            </w:r>
          </w:p>
        </w:tc>
        <w:tc>
          <w:tcPr>
            <w:tcW w:w="1981" w:type="pct"/>
            <w:noWrap w:val="0"/>
            <w:tcMar>
              <w:top w:w="120" w:type="dxa"/>
              <w:left w:w="120" w:type="dxa"/>
              <w:bottom w:w="120" w:type="dxa"/>
              <w:right w:w="120" w:type="dxa"/>
            </w:tcMar>
            <w:vAlign w:val="center"/>
          </w:tcPr>
          <w:p w14:paraId="10770952">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夯实小麦、玉米大宗粮食产能</w:t>
            </w:r>
            <w:r>
              <w:rPr>
                <w:rFonts w:hint="eastAsia" w:ascii="Times New Roman" w:hAnsi="Times New Roman" w:eastAsia="方正仿宋_GBK"/>
                <w:sz w:val="28"/>
                <w:szCs w:val="28"/>
              </w:rPr>
              <w:t>，</w:t>
            </w:r>
            <w:r>
              <w:rPr>
                <w:rFonts w:ascii="Times New Roman" w:hAnsi="Times New Roman" w:eastAsia="方正仿宋_GBK"/>
                <w:sz w:val="28"/>
                <w:szCs w:val="28"/>
              </w:rPr>
              <w:t>推进高标准农田、全域土地综合整治，改良砂姜黑土，完善农田林网，治理采煤沉陷区</w:t>
            </w:r>
            <w:r>
              <w:rPr>
                <w:rFonts w:hint="eastAsia" w:ascii="Times New Roman" w:hAnsi="Times New Roman" w:eastAsia="方正仿宋_GBK"/>
                <w:sz w:val="28"/>
                <w:szCs w:val="28"/>
              </w:rPr>
              <w:t>。</w:t>
            </w:r>
          </w:p>
        </w:tc>
        <w:tc>
          <w:tcPr>
            <w:tcW w:w="1476" w:type="pct"/>
            <w:noWrap w:val="0"/>
            <w:tcMar>
              <w:top w:w="120" w:type="dxa"/>
              <w:left w:w="120" w:type="dxa"/>
              <w:bottom w:w="120" w:type="dxa"/>
              <w:right w:w="120" w:type="dxa"/>
            </w:tcMar>
            <w:vAlign w:val="center"/>
          </w:tcPr>
          <w:p w14:paraId="472AA4D4">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落实农产品主产区功能</w:t>
            </w:r>
            <w:r>
              <w:rPr>
                <w:rFonts w:hint="eastAsia" w:ascii="Times New Roman" w:hAnsi="Times New Roman" w:eastAsia="方正仿宋_GBK"/>
                <w:sz w:val="28"/>
                <w:szCs w:val="28"/>
              </w:rPr>
              <w:t>，</w:t>
            </w:r>
            <w:r>
              <w:rPr>
                <w:rFonts w:ascii="Times New Roman" w:hAnsi="Times New Roman" w:eastAsia="方正仿宋_GBK"/>
                <w:sz w:val="28"/>
                <w:szCs w:val="28"/>
              </w:rPr>
              <w:t>严控优质耕地流失</w:t>
            </w:r>
            <w:r>
              <w:rPr>
                <w:rFonts w:hint="eastAsia" w:ascii="Times New Roman" w:hAnsi="Times New Roman" w:eastAsia="方正仿宋_GBK"/>
                <w:sz w:val="28"/>
                <w:szCs w:val="28"/>
              </w:rPr>
              <w:t>，</w:t>
            </w:r>
            <w:r>
              <w:rPr>
                <w:rFonts w:ascii="Times New Roman" w:hAnsi="Times New Roman" w:eastAsia="方正仿宋_GBK"/>
                <w:sz w:val="28"/>
                <w:szCs w:val="28"/>
              </w:rPr>
              <w:t>补齐平原生态防护短板</w:t>
            </w:r>
            <w:r>
              <w:rPr>
                <w:rFonts w:hint="eastAsia" w:ascii="Times New Roman" w:hAnsi="Times New Roman" w:eastAsia="方正仿宋_GBK"/>
                <w:sz w:val="28"/>
                <w:szCs w:val="28"/>
              </w:rPr>
              <w:t>。</w:t>
            </w:r>
          </w:p>
        </w:tc>
      </w:tr>
      <w:tr w14:paraId="2C5B2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trPr>
        <w:tc>
          <w:tcPr>
            <w:tcW w:w="733" w:type="pct"/>
            <w:noWrap w:val="0"/>
            <w:tcMar>
              <w:top w:w="120" w:type="dxa"/>
              <w:left w:w="120" w:type="dxa"/>
              <w:bottom w:w="120" w:type="dxa"/>
              <w:right w:w="120" w:type="dxa"/>
            </w:tcMar>
            <w:vAlign w:val="center"/>
          </w:tcPr>
          <w:p w14:paraId="06ED570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楷体_GBK" w:hAnsi="方正楷体_GBK" w:eastAsia="方正楷体_GBK" w:cs="方正楷体_GBK"/>
                <w:sz w:val="28"/>
                <w:szCs w:val="28"/>
              </w:rPr>
            </w:pPr>
            <w:r>
              <w:rPr>
                <w:rFonts w:hint="eastAsia" w:ascii="方正楷体_GBK" w:hAnsi="方正楷体_GBK" w:eastAsia="方正楷体_GBK" w:cs="方正楷体_GBK"/>
                <w:sz w:val="28"/>
                <w:szCs w:val="28"/>
              </w:rPr>
              <w:t>江淮丘陵区</w:t>
            </w:r>
          </w:p>
        </w:tc>
        <w:tc>
          <w:tcPr>
            <w:tcW w:w="809" w:type="pct"/>
            <w:noWrap w:val="0"/>
            <w:tcMar>
              <w:top w:w="120" w:type="dxa"/>
              <w:left w:w="120" w:type="dxa"/>
              <w:bottom w:w="120" w:type="dxa"/>
              <w:right w:w="120" w:type="dxa"/>
            </w:tcMar>
            <w:vAlign w:val="center"/>
          </w:tcPr>
          <w:p w14:paraId="47FB1CA3">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粮食安全优先，兼顾水土保持</w:t>
            </w:r>
          </w:p>
        </w:tc>
        <w:tc>
          <w:tcPr>
            <w:tcW w:w="1981" w:type="pct"/>
            <w:noWrap w:val="0"/>
            <w:tcMar>
              <w:top w:w="120" w:type="dxa"/>
              <w:left w:w="120" w:type="dxa"/>
              <w:bottom w:w="120" w:type="dxa"/>
              <w:right w:w="120" w:type="dxa"/>
            </w:tcMar>
            <w:vAlign w:val="center"/>
          </w:tcPr>
          <w:p w14:paraId="043A60B3">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发展优质粮油、蔬菜产业</w:t>
            </w:r>
            <w:r>
              <w:rPr>
                <w:rFonts w:hint="eastAsia" w:ascii="Times New Roman" w:hAnsi="Times New Roman" w:eastAsia="方正仿宋_GBK"/>
                <w:sz w:val="28"/>
                <w:szCs w:val="28"/>
              </w:rPr>
              <w:t>，强化用途</w:t>
            </w:r>
            <w:r>
              <w:rPr>
                <w:rFonts w:ascii="Times New Roman" w:hAnsi="Times New Roman" w:eastAsia="方正仿宋_GBK"/>
                <w:sz w:val="28"/>
                <w:szCs w:val="28"/>
              </w:rPr>
              <w:t>管控</w:t>
            </w:r>
            <w:r>
              <w:rPr>
                <w:rFonts w:hint="eastAsia" w:ascii="Times New Roman" w:hAnsi="Times New Roman" w:eastAsia="方正仿宋_GBK"/>
                <w:sz w:val="28"/>
                <w:szCs w:val="28"/>
              </w:rPr>
              <w:t>，</w:t>
            </w:r>
            <w:r>
              <w:rPr>
                <w:rFonts w:ascii="Times New Roman" w:hAnsi="Times New Roman" w:eastAsia="方正仿宋_GBK"/>
                <w:sz w:val="28"/>
                <w:szCs w:val="28"/>
              </w:rPr>
              <w:t>兼顾经济林果经营</w:t>
            </w:r>
            <w:r>
              <w:rPr>
                <w:rFonts w:hint="eastAsia" w:ascii="Times New Roman" w:hAnsi="Times New Roman" w:eastAsia="方正仿宋_GBK"/>
                <w:sz w:val="28"/>
                <w:szCs w:val="28"/>
              </w:rPr>
              <w:t>，</w:t>
            </w:r>
            <w:r>
              <w:rPr>
                <w:rFonts w:ascii="Times New Roman" w:hAnsi="Times New Roman" w:eastAsia="方正仿宋_GBK"/>
                <w:sz w:val="28"/>
                <w:szCs w:val="28"/>
              </w:rPr>
              <w:t>统筹耕地恢复与生态缓冲带建设</w:t>
            </w:r>
            <w:r>
              <w:rPr>
                <w:rFonts w:hint="eastAsia" w:ascii="Times New Roman" w:hAnsi="Times New Roman" w:eastAsia="方正仿宋_GBK"/>
                <w:sz w:val="28"/>
                <w:szCs w:val="28"/>
              </w:rPr>
              <w:t>。</w:t>
            </w:r>
          </w:p>
        </w:tc>
        <w:tc>
          <w:tcPr>
            <w:tcW w:w="1476" w:type="pct"/>
            <w:noWrap w:val="0"/>
            <w:tcMar>
              <w:top w:w="120" w:type="dxa"/>
              <w:left w:w="120" w:type="dxa"/>
              <w:bottom w:w="120" w:type="dxa"/>
              <w:right w:w="120" w:type="dxa"/>
            </w:tcMar>
            <w:vAlign w:val="center"/>
          </w:tcPr>
          <w:p w14:paraId="31547C5D">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联动江淮分水岭生态缓冲带</w:t>
            </w:r>
            <w:r>
              <w:rPr>
                <w:rFonts w:hint="eastAsia" w:ascii="Times New Roman" w:hAnsi="Times New Roman" w:eastAsia="方正仿宋_GBK"/>
                <w:sz w:val="28"/>
                <w:szCs w:val="28"/>
              </w:rPr>
              <w:t>，</w:t>
            </w:r>
            <w:r>
              <w:rPr>
                <w:rFonts w:ascii="Times New Roman" w:hAnsi="Times New Roman" w:eastAsia="方正仿宋_GBK"/>
                <w:sz w:val="28"/>
                <w:szCs w:val="28"/>
              </w:rPr>
              <w:t>破解耕地碎片化</w:t>
            </w:r>
            <w:r>
              <w:rPr>
                <w:rFonts w:hint="eastAsia" w:ascii="Times New Roman" w:hAnsi="Times New Roman" w:eastAsia="方正仿宋_GBK"/>
                <w:sz w:val="28"/>
                <w:szCs w:val="28"/>
              </w:rPr>
              <w:t>，</w:t>
            </w:r>
            <w:r>
              <w:rPr>
                <w:rFonts w:ascii="Times New Roman" w:hAnsi="Times New Roman" w:eastAsia="方正仿宋_GBK"/>
                <w:sz w:val="28"/>
                <w:szCs w:val="28"/>
              </w:rPr>
              <w:t>防范坡面水土流失</w:t>
            </w:r>
            <w:r>
              <w:rPr>
                <w:rFonts w:hint="eastAsia" w:ascii="Times New Roman" w:hAnsi="Times New Roman" w:eastAsia="方正仿宋_GBK"/>
                <w:sz w:val="28"/>
                <w:szCs w:val="28"/>
              </w:rPr>
              <w:t>。</w:t>
            </w:r>
          </w:p>
        </w:tc>
      </w:tr>
      <w:tr w14:paraId="3F007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trPr>
        <w:tc>
          <w:tcPr>
            <w:tcW w:w="733" w:type="pct"/>
            <w:noWrap w:val="0"/>
            <w:tcMar>
              <w:top w:w="120" w:type="dxa"/>
              <w:left w:w="120" w:type="dxa"/>
              <w:bottom w:w="120" w:type="dxa"/>
              <w:right w:w="120" w:type="dxa"/>
            </w:tcMar>
            <w:vAlign w:val="center"/>
          </w:tcPr>
          <w:p w14:paraId="592E778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楷体_GBK" w:hAnsi="方正楷体_GBK" w:eastAsia="方正楷体_GBK" w:cs="方正楷体_GBK"/>
                <w:sz w:val="28"/>
                <w:szCs w:val="28"/>
              </w:rPr>
            </w:pPr>
            <w:r>
              <w:rPr>
                <w:rFonts w:hint="eastAsia" w:ascii="方正楷体_GBK" w:hAnsi="方正楷体_GBK" w:eastAsia="方正楷体_GBK" w:cs="方正楷体_GBK"/>
                <w:sz w:val="28"/>
                <w:szCs w:val="28"/>
              </w:rPr>
              <w:t>沿江平原区</w:t>
            </w:r>
          </w:p>
        </w:tc>
        <w:tc>
          <w:tcPr>
            <w:tcW w:w="809" w:type="pct"/>
            <w:noWrap w:val="0"/>
            <w:tcMar>
              <w:top w:w="120" w:type="dxa"/>
              <w:left w:w="120" w:type="dxa"/>
              <w:bottom w:w="120" w:type="dxa"/>
              <w:right w:w="120" w:type="dxa"/>
            </w:tcMar>
            <w:vAlign w:val="center"/>
          </w:tcPr>
          <w:p w14:paraId="5F64FDA2">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粮食安全保障</w:t>
            </w:r>
          </w:p>
        </w:tc>
        <w:tc>
          <w:tcPr>
            <w:tcW w:w="1981" w:type="pct"/>
            <w:noWrap w:val="0"/>
            <w:tcMar>
              <w:top w:w="120" w:type="dxa"/>
              <w:left w:w="120" w:type="dxa"/>
              <w:bottom w:w="120" w:type="dxa"/>
              <w:right w:w="120" w:type="dxa"/>
            </w:tcMar>
            <w:vAlign w:val="center"/>
          </w:tcPr>
          <w:p w14:paraId="675DCFAA">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保障水稻、油料生产</w:t>
            </w:r>
            <w:r>
              <w:rPr>
                <w:rFonts w:hint="eastAsia" w:ascii="Times New Roman" w:hAnsi="Times New Roman" w:eastAsia="方正仿宋_GBK"/>
                <w:sz w:val="28"/>
                <w:szCs w:val="28"/>
              </w:rPr>
              <w:t>，</w:t>
            </w:r>
            <w:r>
              <w:rPr>
                <w:rFonts w:ascii="Times New Roman" w:hAnsi="Times New Roman" w:eastAsia="方正仿宋_GBK"/>
                <w:sz w:val="28"/>
                <w:szCs w:val="28"/>
              </w:rPr>
              <w:t>实施涝渍耕地改造</w:t>
            </w:r>
            <w:r>
              <w:rPr>
                <w:rFonts w:hint="eastAsia" w:ascii="Times New Roman" w:hAnsi="Times New Roman" w:eastAsia="方正仿宋_GBK"/>
                <w:sz w:val="28"/>
                <w:szCs w:val="28"/>
              </w:rPr>
              <w:t>，</w:t>
            </w:r>
            <w:r>
              <w:rPr>
                <w:rFonts w:ascii="Times New Roman" w:hAnsi="Times New Roman" w:eastAsia="方正仿宋_GBK"/>
                <w:sz w:val="28"/>
                <w:szCs w:val="28"/>
              </w:rPr>
              <w:t>优化城镇周边林地布局，建设郊野绿地、滨水林带</w:t>
            </w:r>
            <w:r>
              <w:rPr>
                <w:rFonts w:hint="eastAsia" w:ascii="Times New Roman" w:hAnsi="Times New Roman" w:eastAsia="方正仿宋_GBK"/>
                <w:sz w:val="28"/>
                <w:szCs w:val="28"/>
              </w:rPr>
              <w:t>。</w:t>
            </w:r>
          </w:p>
        </w:tc>
        <w:tc>
          <w:tcPr>
            <w:tcW w:w="1476" w:type="pct"/>
            <w:noWrap w:val="0"/>
            <w:tcMar>
              <w:top w:w="120" w:type="dxa"/>
              <w:left w:w="120" w:type="dxa"/>
              <w:bottom w:w="120" w:type="dxa"/>
              <w:right w:w="120" w:type="dxa"/>
            </w:tcMar>
            <w:vAlign w:val="center"/>
          </w:tcPr>
          <w:p w14:paraId="7724172E">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严守沿江优质水田</w:t>
            </w:r>
            <w:r>
              <w:rPr>
                <w:rFonts w:hint="eastAsia" w:ascii="Times New Roman" w:hAnsi="Times New Roman" w:eastAsia="方正仿宋_GBK"/>
                <w:sz w:val="28"/>
                <w:szCs w:val="28"/>
              </w:rPr>
              <w:t>，</w:t>
            </w:r>
            <w:r>
              <w:rPr>
                <w:rFonts w:ascii="Times New Roman" w:hAnsi="Times New Roman" w:eastAsia="方正仿宋_GBK"/>
                <w:sz w:val="28"/>
                <w:szCs w:val="28"/>
              </w:rPr>
              <w:t>协调城镇扩张、农业生产、生态空间关系</w:t>
            </w:r>
            <w:r>
              <w:rPr>
                <w:rFonts w:hint="eastAsia" w:ascii="Times New Roman" w:hAnsi="Times New Roman" w:eastAsia="方正仿宋_GBK"/>
                <w:sz w:val="28"/>
                <w:szCs w:val="28"/>
              </w:rPr>
              <w:t>。</w:t>
            </w:r>
          </w:p>
        </w:tc>
      </w:tr>
      <w:tr w14:paraId="110BB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trPr>
        <w:tc>
          <w:tcPr>
            <w:tcW w:w="733" w:type="pct"/>
            <w:noWrap w:val="0"/>
            <w:tcMar>
              <w:top w:w="120" w:type="dxa"/>
              <w:left w:w="120" w:type="dxa"/>
              <w:bottom w:w="120" w:type="dxa"/>
              <w:right w:w="120" w:type="dxa"/>
            </w:tcMar>
            <w:vAlign w:val="center"/>
          </w:tcPr>
          <w:p w14:paraId="44DDB41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楷体_GBK" w:hAnsi="方正楷体_GBK" w:eastAsia="方正楷体_GBK" w:cs="方正楷体_GBK"/>
                <w:sz w:val="28"/>
                <w:szCs w:val="28"/>
              </w:rPr>
            </w:pPr>
            <w:r>
              <w:rPr>
                <w:rFonts w:hint="eastAsia" w:ascii="方正楷体_GBK" w:hAnsi="方正楷体_GBK" w:eastAsia="方正楷体_GBK" w:cs="方正楷体_GBK"/>
                <w:sz w:val="28"/>
                <w:szCs w:val="28"/>
              </w:rPr>
              <w:t>皖西大别山区</w:t>
            </w:r>
          </w:p>
        </w:tc>
        <w:tc>
          <w:tcPr>
            <w:tcW w:w="809" w:type="pct"/>
            <w:noWrap w:val="0"/>
            <w:tcMar>
              <w:top w:w="120" w:type="dxa"/>
              <w:left w:w="120" w:type="dxa"/>
              <w:bottom w:w="120" w:type="dxa"/>
              <w:right w:w="120" w:type="dxa"/>
            </w:tcMar>
            <w:vAlign w:val="center"/>
          </w:tcPr>
          <w:p w14:paraId="048873E0">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生态安全优先，兼顾耕地底线</w:t>
            </w:r>
          </w:p>
        </w:tc>
        <w:tc>
          <w:tcPr>
            <w:tcW w:w="1981" w:type="pct"/>
            <w:noWrap w:val="0"/>
            <w:tcMar>
              <w:top w:w="120" w:type="dxa"/>
              <w:left w:w="120" w:type="dxa"/>
              <w:bottom w:w="120" w:type="dxa"/>
              <w:right w:w="120" w:type="dxa"/>
            </w:tcMar>
            <w:vAlign w:val="center"/>
          </w:tcPr>
          <w:p w14:paraId="59AB0BBC">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落实水源涵养、水土保持、生物多样性保护</w:t>
            </w:r>
            <w:r>
              <w:rPr>
                <w:rFonts w:hint="eastAsia" w:ascii="Times New Roman" w:hAnsi="Times New Roman" w:eastAsia="方正仿宋_GBK"/>
                <w:sz w:val="28"/>
                <w:szCs w:val="28"/>
              </w:rPr>
              <w:t>，</w:t>
            </w:r>
            <w:r>
              <w:rPr>
                <w:rFonts w:ascii="Times New Roman" w:hAnsi="Times New Roman" w:eastAsia="方正仿宋_GBK"/>
                <w:sz w:val="28"/>
                <w:szCs w:val="28"/>
              </w:rPr>
              <w:t>低丘缓坡适度发展梯田与特色农业</w:t>
            </w:r>
            <w:r>
              <w:rPr>
                <w:rFonts w:hint="eastAsia" w:ascii="Times New Roman" w:hAnsi="Times New Roman" w:eastAsia="方正仿宋_GBK"/>
                <w:sz w:val="28"/>
                <w:szCs w:val="28"/>
              </w:rPr>
              <w:t>，</w:t>
            </w:r>
            <w:r>
              <w:rPr>
                <w:rFonts w:ascii="Times New Roman" w:hAnsi="Times New Roman" w:eastAsia="方正仿宋_GBK"/>
                <w:sz w:val="28"/>
                <w:szCs w:val="28"/>
              </w:rPr>
              <w:t>严守耕地保有量底线</w:t>
            </w:r>
            <w:r>
              <w:rPr>
                <w:rFonts w:hint="eastAsia" w:ascii="Times New Roman" w:hAnsi="Times New Roman" w:eastAsia="方正仿宋_GBK"/>
                <w:sz w:val="28"/>
                <w:szCs w:val="28"/>
              </w:rPr>
              <w:t>。</w:t>
            </w:r>
          </w:p>
        </w:tc>
        <w:tc>
          <w:tcPr>
            <w:tcW w:w="1476" w:type="pct"/>
            <w:noWrap w:val="0"/>
            <w:tcMar>
              <w:top w:w="120" w:type="dxa"/>
              <w:left w:w="120" w:type="dxa"/>
              <w:bottom w:w="120" w:type="dxa"/>
              <w:right w:w="120" w:type="dxa"/>
            </w:tcMar>
            <w:vAlign w:val="center"/>
          </w:tcPr>
          <w:p w14:paraId="66AE3118">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维护大面积连片森林生态功能</w:t>
            </w:r>
            <w:r>
              <w:rPr>
                <w:rFonts w:hint="eastAsia" w:ascii="Times New Roman" w:hAnsi="Times New Roman" w:eastAsia="方正仿宋_GBK"/>
                <w:sz w:val="28"/>
                <w:szCs w:val="28"/>
              </w:rPr>
              <w:t>，</w:t>
            </w:r>
            <w:r>
              <w:rPr>
                <w:rFonts w:hint="eastAsia" w:ascii="Times New Roman" w:hAnsi="Times New Roman" w:eastAsia="方正仿宋_GBK"/>
                <w:sz w:val="28"/>
                <w:szCs w:val="28"/>
                <w:lang w:val="en-US" w:eastAsia="zh-CN"/>
              </w:rPr>
              <w:t>防止水土流失</w:t>
            </w:r>
            <w:r>
              <w:rPr>
                <w:rFonts w:ascii="Times New Roman" w:hAnsi="Times New Roman" w:eastAsia="方正仿宋_GBK"/>
                <w:sz w:val="28"/>
                <w:szCs w:val="28"/>
              </w:rPr>
              <w:t>，守住耕地刚性底线</w:t>
            </w:r>
            <w:r>
              <w:rPr>
                <w:rFonts w:hint="eastAsia" w:ascii="Times New Roman" w:hAnsi="Times New Roman" w:eastAsia="方正仿宋_GBK"/>
                <w:sz w:val="28"/>
                <w:szCs w:val="28"/>
              </w:rPr>
              <w:t>。</w:t>
            </w:r>
          </w:p>
        </w:tc>
      </w:tr>
      <w:tr w14:paraId="5BDB8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trPr>
        <w:tc>
          <w:tcPr>
            <w:tcW w:w="733" w:type="pct"/>
            <w:noWrap w:val="0"/>
            <w:tcMar>
              <w:top w:w="120" w:type="dxa"/>
              <w:left w:w="120" w:type="dxa"/>
              <w:bottom w:w="120" w:type="dxa"/>
              <w:right w:w="120" w:type="dxa"/>
            </w:tcMar>
            <w:vAlign w:val="center"/>
          </w:tcPr>
          <w:p w14:paraId="168155C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楷体_GBK" w:hAnsi="方正楷体_GBK" w:eastAsia="方正楷体_GBK" w:cs="方正楷体_GBK"/>
                <w:sz w:val="28"/>
                <w:szCs w:val="28"/>
              </w:rPr>
            </w:pPr>
            <w:r>
              <w:rPr>
                <w:rFonts w:hint="eastAsia" w:ascii="方正楷体_GBK" w:hAnsi="方正楷体_GBK" w:eastAsia="方正楷体_GBK" w:cs="方正楷体_GBK"/>
                <w:sz w:val="28"/>
                <w:szCs w:val="28"/>
              </w:rPr>
              <w:t>皖南山区</w:t>
            </w:r>
          </w:p>
        </w:tc>
        <w:tc>
          <w:tcPr>
            <w:tcW w:w="809" w:type="pct"/>
            <w:noWrap w:val="0"/>
            <w:tcMar>
              <w:top w:w="120" w:type="dxa"/>
              <w:left w:w="120" w:type="dxa"/>
              <w:bottom w:w="120" w:type="dxa"/>
              <w:right w:w="120" w:type="dxa"/>
            </w:tcMar>
            <w:vAlign w:val="center"/>
          </w:tcPr>
          <w:p w14:paraId="2758D30E">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生态安全优先，兼顾耕地底线</w:t>
            </w:r>
          </w:p>
        </w:tc>
        <w:tc>
          <w:tcPr>
            <w:tcW w:w="1981" w:type="pct"/>
            <w:noWrap w:val="0"/>
            <w:tcMar>
              <w:top w:w="120" w:type="dxa"/>
              <w:left w:w="120" w:type="dxa"/>
              <w:bottom w:w="120" w:type="dxa"/>
              <w:right w:w="120" w:type="dxa"/>
            </w:tcMar>
            <w:vAlign w:val="center"/>
          </w:tcPr>
          <w:p w14:paraId="11FB8710">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筑牢南部生态安全屏障</w:t>
            </w:r>
            <w:r>
              <w:rPr>
                <w:rFonts w:hint="eastAsia" w:ascii="Times New Roman" w:hAnsi="Times New Roman" w:eastAsia="方正仿宋_GBK"/>
                <w:sz w:val="28"/>
                <w:szCs w:val="28"/>
              </w:rPr>
              <w:t>，</w:t>
            </w:r>
            <w:r>
              <w:rPr>
                <w:rFonts w:ascii="Times New Roman" w:hAnsi="Times New Roman" w:eastAsia="方正仿宋_GBK"/>
                <w:sz w:val="28"/>
                <w:szCs w:val="28"/>
              </w:rPr>
              <w:t>强化森林质量提升</w:t>
            </w:r>
            <w:r>
              <w:rPr>
                <w:rFonts w:hint="eastAsia" w:ascii="Times New Roman" w:hAnsi="Times New Roman" w:eastAsia="方正仿宋_GBK"/>
                <w:sz w:val="28"/>
                <w:szCs w:val="28"/>
              </w:rPr>
              <w:t>，</w:t>
            </w:r>
            <w:r>
              <w:rPr>
                <w:rFonts w:ascii="Times New Roman" w:hAnsi="Times New Roman" w:eastAsia="方正仿宋_GBK"/>
                <w:sz w:val="28"/>
                <w:szCs w:val="28"/>
              </w:rPr>
              <w:t>河谷缓坡稳定耕地生产能力，发展特色农林产业</w:t>
            </w:r>
            <w:r>
              <w:rPr>
                <w:rFonts w:hint="eastAsia" w:ascii="Times New Roman" w:hAnsi="Times New Roman" w:eastAsia="方正仿宋_GBK"/>
                <w:sz w:val="28"/>
                <w:szCs w:val="28"/>
              </w:rPr>
              <w:t>。</w:t>
            </w:r>
          </w:p>
        </w:tc>
        <w:tc>
          <w:tcPr>
            <w:tcW w:w="1476" w:type="pct"/>
            <w:noWrap w:val="0"/>
            <w:tcMar>
              <w:top w:w="120" w:type="dxa"/>
              <w:left w:w="120" w:type="dxa"/>
              <w:bottom w:w="120" w:type="dxa"/>
              <w:right w:w="120" w:type="dxa"/>
            </w:tcMar>
            <w:vAlign w:val="center"/>
          </w:tcPr>
          <w:p w14:paraId="0F0FC52A">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hint="eastAsia" w:ascii="Times New Roman" w:hAnsi="Times New Roman" w:eastAsia="方正仿宋_GBK"/>
                <w:sz w:val="28"/>
                <w:szCs w:val="28"/>
                <w:lang w:val="en-US" w:eastAsia="zh-CN"/>
              </w:rPr>
              <w:t>确保</w:t>
            </w:r>
            <w:r>
              <w:rPr>
                <w:rFonts w:ascii="Times New Roman" w:hAnsi="Times New Roman" w:eastAsia="方正仿宋_GBK"/>
                <w:sz w:val="28"/>
                <w:szCs w:val="28"/>
              </w:rPr>
              <w:t>连片森林生态功能</w:t>
            </w:r>
            <w:r>
              <w:rPr>
                <w:rFonts w:hint="eastAsia" w:ascii="Times New Roman" w:hAnsi="Times New Roman" w:eastAsia="方正仿宋_GBK"/>
                <w:sz w:val="28"/>
                <w:szCs w:val="28"/>
              </w:rPr>
              <w:t>，</w:t>
            </w:r>
            <w:r>
              <w:rPr>
                <w:rFonts w:ascii="Times New Roman" w:hAnsi="Times New Roman" w:eastAsia="方正仿宋_GBK"/>
                <w:sz w:val="28"/>
                <w:szCs w:val="28"/>
              </w:rPr>
              <w:t>严控山地无序开垦，守住耕地刚性底线</w:t>
            </w:r>
            <w:r>
              <w:rPr>
                <w:rFonts w:hint="eastAsia" w:ascii="Times New Roman" w:hAnsi="Times New Roman" w:eastAsia="方正仿宋_GBK"/>
                <w:sz w:val="28"/>
                <w:szCs w:val="28"/>
                <w:lang w:eastAsia="zh-CN"/>
              </w:rPr>
              <w:t>，</w:t>
            </w:r>
            <w:r>
              <w:rPr>
                <w:rFonts w:hint="eastAsia" w:ascii="Times New Roman" w:hAnsi="Times New Roman" w:eastAsia="方正仿宋_GBK"/>
                <w:sz w:val="28"/>
                <w:szCs w:val="28"/>
              </w:rPr>
              <w:t>25°以上陡坡有序退耕。</w:t>
            </w:r>
          </w:p>
        </w:tc>
      </w:tr>
    </w:tbl>
    <w:p w14:paraId="3FD7D344">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三、坚守耕地保护底盘，夯实江淮粮仓根基</w:t>
      </w:r>
    </w:p>
    <w:p w14:paraId="74C067F4">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方正楷体_GBK" w:hAnsi="方正楷体_GBK" w:eastAsia="方正楷体_GBK" w:cs="方正楷体_GBK"/>
          <w:sz w:val="32"/>
          <w:szCs w:val="32"/>
        </w:rPr>
      </w:pPr>
      <w:r>
        <w:rPr>
          <w:rStyle w:val="9"/>
          <w:rFonts w:hint="eastAsia" w:ascii="方正楷体_GBK" w:hAnsi="方正楷体_GBK" w:eastAsia="方正楷体_GBK" w:cs="方正楷体_GBK"/>
          <w:kern w:val="0"/>
          <w:sz w:val="32"/>
          <w:szCs w:val="32"/>
          <w:lang w:bidi="ar"/>
        </w:rPr>
        <w:t>（一）落实耕地刚性管控筑牢粮食安全底线</w:t>
      </w:r>
    </w:p>
    <w:p w14:paraId="716FCD27">
      <w:pPr>
        <w:keepNext w:val="0"/>
        <w:keepLines w:val="0"/>
        <w:pageBreakBefore w:val="0"/>
        <w:kinsoku/>
        <w:wordWrap/>
        <w:overflowPunct/>
        <w:topLinePunct w:val="0"/>
        <w:autoSpaceDE/>
        <w:autoSpaceDN/>
        <w:bidi w:val="0"/>
        <w:adjustRightInd/>
        <w:snapToGrid/>
        <w:spacing w:line="560" w:lineRule="exact"/>
        <w:ind w:firstLine="641"/>
        <w:textAlignment w:val="auto"/>
        <w:rPr>
          <w:rFonts w:ascii="Times New Roman" w:hAnsi="Times New Roman" w:eastAsia="方正仿宋_GBK"/>
          <w:sz w:val="32"/>
          <w:szCs w:val="32"/>
        </w:rPr>
      </w:pPr>
      <w:r>
        <w:rPr>
          <w:rFonts w:hint="eastAsia" w:ascii="方正楷体_GBK" w:hAnsi="方正楷体_GBK" w:eastAsia="方正楷体_GBK" w:cs="方正楷体_GBK"/>
          <w:sz w:val="32"/>
          <w:szCs w:val="32"/>
          <w:lang w:val="en-US" w:eastAsia="zh-CN"/>
        </w:rPr>
        <w:t>严格落实耕地保护目标</w:t>
      </w:r>
      <w:r>
        <w:rPr>
          <w:rFonts w:hint="eastAsia" w:ascii="方正楷体_GBK" w:hAnsi="方正楷体_GBK" w:eastAsia="方正楷体_GBK" w:cs="方正楷体_GBK"/>
          <w:sz w:val="32"/>
          <w:szCs w:val="32"/>
        </w:rPr>
        <w:t>。</w:t>
      </w:r>
      <w:r>
        <w:rPr>
          <w:rFonts w:ascii="Times New Roman" w:hAnsi="Times New Roman" w:eastAsia="方正仿宋_GBK"/>
          <w:sz w:val="32"/>
          <w:szCs w:val="32"/>
        </w:rPr>
        <w:t>按照</w:t>
      </w:r>
      <w:r>
        <w:rPr>
          <w:rFonts w:hint="eastAsia" w:ascii="Times New Roman" w:hAnsi="Times New Roman" w:eastAsia="方正仿宋_GBK"/>
          <w:sz w:val="32"/>
          <w:szCs w:val="32"/>
        </w:rPr>
        <w:t>“</w:t>
      </w:r>
      <w:r>
        <w:rPr>
          <w:rFonts w:ascii="Times New Roman" w:hAnsi="Times New Roman" w:eastAsia="方正仿宋_GBK"/>
          <w:sz w:val="32"/>
          <w:szCs w:val="32"/>
        </w:rPr>
        <w:t>应划尽划</w:t>
      </w:r>
      <w:r>
        <w:rPr>
          <w:rFonts w:hint="eastAsia" w:ascii="Times New Roman" w:hAnsi="Times New Roman" w:eastAsia="方正仿宋_GBK"/>
          <w:sz w:val="32"/>
          <w:szCs w:val="32"/>
        </w:rPr>
        <w:t>”原则</w:t>
      </w:r>
      <w:r>
        <w:rPr>
          <w:rFonts w:ascii="Times New Roman" w:hAnsi="Times New Roman" w:eastAsia="方正仿宋_GBK"/>
          <w:sz w:val="32"/>
          <w:szCs w:val="32"/>
        </w:rPr>
        <w:t>，将长期稳定利用耕地划入耕地空间，落实耕地保护党政同责，严格用途管制，强化永久基本农田特殊保护。落实</w:t>
      </w:r>
      <w:r>
        <w:rPr>
          <w:rFonts w:hint="eastAsia" w:ascii="Times New Roman" w:hAnsi="Times New Roman" w:eastAsia="方正仿宋_GBK"/>
          <w:sz w:val="32"/>
          <w:szCs w:val="32"/>
          <w:lang w:val="en-US" w:eastAsia="zh-CN"/>
        </w:rPr>
        <w:t>省级国土空间规划</w:t>
      </w:r>
      <w:r>
        <w:rPr>
          <w:rFonts w:ascii="Times New Roman" w:hAnsi="Times New Roman" w:eastAsia="方正仿宋_GBK"/>
          <w:sz w:val="32"/>
          <w:szCs w:val="32"/>
        </w:rPr>
        <w:t>管控要求，</w:t>
      </w:r>
      <w:r>
        <w:rPr>
          <w:rFonts w:hint="eastAsia" w:ascii="Times New Roman" w:hAnsi="Times New Roman" w:eastAsia="方正仿宋_GBK"/>
          <w:sz w:val="32"/>
          <w:szCs w:val="32"/>
          <w:lang w:eastAsia="zh-CN"/>
        </w:rPr>
        <w:t>淮北平原</w:t>
      </w:r>
      <w:r>
        <w:rPr>
          <w:rFonts w:ascii="Times New Roman" w:hAnsi="Times New Roman" w:eastAsia="方正仿宋_GBK"/>
          <w:sz w:val="32"/>
          <w:szCs w:val="32"/>
        </w:rPr>
        <w:t>、江淮丘陵、沿江平原三大耕地核心区</w:t>
      </w:r>
      <w:r>
        <w:rPr>
          <w:rFonts w:hint="eastAsia" w:ascii="Times New Roman" w:hAnsi="Times New Roman" w:eastAsia="方正仿宋_GBK"/>
          <w:sz w:val="32"/>
          <w:szCs w:val="32"/>
        </w:rPr>
        <w:t>重点保障粮食种植，</w:t>
      </w:r>
      <w:r>
        <w:rPr>
          <w:rFonts w:ascii="Times New Roman" w:hAnsi="Times New Roman" w:eastAsia="方正仿宋_GBK"/>
          <w:sz w:val="32"/>
          <w:szCs w:val="32"/>
        </w:rPr>
        <w:t>推进全域土地综合整治</w:t>
      </w:r>
      <w:r>
        <w:rPr>
          <w:rFonts w:hint="eastAsia" w:ascii="Times New Roman" w:hAnsi="Times New Roman" w:eastAsia="方正仿宋_GBK"/>
          <w:sz w:val="32"/>
          <w:szCs w:val="32"/>
          <w:lang w:val="en-US" w:eastAsia="zh-CN"/>
        </w:rPr>
        <w:t>和</w:t>
      </w:r>
      <w:r>
        <w:rPr>
          <w:rFonts w:ascii="Times New Roman" w:hAnsi="Times New Roman" w:eastAsia="方正仿宋_GBK"/>
          <w:sz w:val="32"/>
          <w:szCs w:val="32"/>
        </w:rPr>
        <w:t>高标准农田建设，</w:t>
      </w:r>
      <w:r>
        <w:rPr>
          <w:rFonts w:hint="eastAsia" w:ascii="Times New Roman" w:hAnsi="Times New Roman" w:eastAsia="方正仿宋_GBK"/>
          <w:sz w:val="32"/>
          <w:szCs w:val="32"/>
          <w:lang w:val="en-US" w:eastAsia="zh-CN"/>
        </w:rPr>
        <w:t>推动</w:t>
      </w:r>
      <w:r>
        <w:rPr>
          <w:rFonts w:ascii="Times New Roman" w:hAnsi="Times New Roman" w:eastAsia="方正仿宋_GBK"/>
          <w:sz w:val="32"/>
          <w:szCs w:val="32"/>
        </w:rPr>
        <w:t>耕地集中连片</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rPr>
        <w:t>在确保耕地保护任务不降低前提下，稳妥有序处置</w:t>
      </w:r>
      <w:r>
        <w:rPr>
          <w:rFonts w:ascii="Times New Roman" w:hAnsi="Times New Roman" w:eastAsia="方正仿宋_GBK"/>
          <w:sz w:val="32"/>
          <w:szCs w:val="32"/>
        </w:rPr>
        <w:t>河湖沿线</w:t>
      </w:r>
      <w:r>
        <w:rPr>
          <w:rFonts w:hint="eastAsia" w:ascii="Times New Roman" w:hAnsi="Times New Roman" w:eastAsia="方正仿宋_GBK"/>
          <w:sz w:val="32"/>
          <w:szCs w:val="32"/>
        </w:rPr>
        <w:t>影响</w:t>
      </w:r>
      <w:r>
        <w:rPr>
          <w:rFonts w:ascii="Times New Roman" w:hAnsi="Times New Roman" w:eastAsia="方正仿宋_GBK"/>
          <w:sz w:val="32"/>
          <w:szCs w:val="32"/>
        </w:rPr>
        <w:t>行洪</w:t>
      </w:r>
      <w:r>
        <w:rPr>
          <w:rFonts w:hint="eastAsia" w:ascii="Times New Roman" w:hAnsi="Times New Roman" w:eastAsia="方正仿宋_GBK"/>
          <w:sz w:val="32"/>
          <w:szCs w:val="32"/>
        </w:rPr>
        <w:t>功能的耕地</w:t>
      </w:r>
      <w:r>
        <w:rPr>
          <w:rFonts w:ascii="Times New Roman" w:hAnsi="Times New Roman" w:eastAsia="方正仿宋_GBK"/>
          <w:sz w:val="32"/>
          <w:szCs w:val="32"/>
        </w:rPr>
        <w:t>地块。皖西</w:t>
      </w:r>
      <w:r>
        <w:rPr>
          <w:rFonts w:hint="eastAsia" w:ascii="Times New Roman" w:hAnsi="Times New Roman" w:eastAsia="方正仿宋_GBK"/>
          <w:sz w:val="32"/>
          <w:szCs w:val="32"/>
          <w:lang w:val="en-US" w:eastAsia="zh-CN"/>
        </w:rPr>
        <w:t>大别山区</w:t>
      </w:r>
      <w:r>
        <w:rPr>
          <w:rFonts w:ascii="Times New Roman" w:hAnsi="Times New Roman" w:eastAsia="方正仿宋_GBK"/>
          <w:sz w:val="32"/>
          <w:szCs w:val="32"/>
        </w:rPr>
        <w:t>、皖南山区</w:t>
      </w:r>
      <w:r>
        <w:rPr>
          <w:rFonts w:hint="eastAsia" w:ascii="Times New Roman" w:hAnsi="Times New Roman" w:eastAsia="方正仿宋_GBK"/>
          <w:sz w:val="32"/>
          <w:szCs w:val="32"/>
        </w:rPr>
        <w:t>按照宜耕则耕、宜林则林原则，稳妥推进园林地“上坡”、耕地“下坡”，</w:t>
      </w:r>
      <w:r>
        <w:rPr>
          <w:rFonts w:ascii="Times New Roman" w:hAnsi="Times New Roman" w:eastAsia="方正仿宋_GBK"/>
          <w:sz w:val="32"/>
          <w:szCs w:val="32"/>
        </w:rPr>
        <w:t>优化用地格局。</w:t>
      </w:r>
    </w:p>
    <w:p w14:paraId="468EE33E">
      <w:pPr>
        <w:keepNext w:val="0"/>
        <w:keepLines w:val="0"/>
        <w:pageBreakBefore w:val="0"/>
        <w:kinsoku/>
        <w:wordWrap/>
        <w:overflowPunct/>
        <w:topLinePunct w:val="0"/>
        <w:autoSpaceDE/>
        <w:autoSpaceDN/>
        <w:bidi w:val="0"/>
        <w:adjustRightInd/>
        <w:snapToGrid/>
        <w:spacing w:line="560" w:lineRule="exact"/>
        <w:ind w:firstLine="641"/>
        <w:textAlignment w:val="auto"/>
        <w:rPr>
          <w:rFonts w:hint="eastAsia" w:ascii="Times New Roman" w:hAnsi="Times New Roman" w:eastAsia="方正仿宋_GBK" w:cs="Times New Roman"/>
          <w:sz w:val="32"/>
          <w:szCs w:val="32"/>
          <w:lang w:eastAsia="zh-CN"/>
        </w:rPr>
      </w:pPr>
      <w:r>
        <w:rPr>
          <w:rFonts w:hint="eastAsia" w:ascii="方正楷体_GBK" w:hAnsi="方正楷体_GBK" w:eastAsia="方正楷体_GBK" w:cs="方正楷体_GBK"/>
          <w:sz w:val="32"/>
          <w:szCs w:val="32"/>
        </w:rPr>
        <w:t>有序推进全域土地综合整治</w:t>
      </w:r>
      <w:r>
        <w:rPr>
          <w:rFonts w:hint="eastAsia" w:ascii="方正楷体_GBK" w:hAnsi="方正楷体_GBK" w:eastAsia="方正楷体_GBK" w:cs="方正楷体_GBK"/>
          <w:sz w:val="32"/>
          <w:szCs w:val="32"/>
          <w:lang w:eastAsia="zh-CN"/>
        </w:rPr>
        <w:t>。</w:t>
      </w:r>
      <w:r>
        <w:rPr>
          <w:rFonts w:hint="default" w:ascii="Times New Roman" w:hAnsi="Times New Roman" w:eastAsia="方正仿宋_GBK" w:cs="Times New Roman"/>
          <w:sz w:val="32"/>
          <w:szCs w:val="32"/>
        </w:rPr>
        <w:t>结合区域资源禀赋，有序推进全域土地综合整治，统筹农用地整治、建设用地整理、生态保护修复。完成17个部级试点项目</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支持</w:t>
      </w:r>
      <w:r>
        <w:rPr>
          <w:rFonts w:hint="default" w:ascii="Times New Roman" w:hAnsi="Times New Roman" w:eastAsia="方正仿宋_GBK" w:cs="Times New Roman"/>
          <w:sz w:val="32"/>
          <w:szCs w:val="32"/>
        </w:rPr>
        <w:t>符合法规政策和规划要求的省级全域土地综合整治项目</w:t>
      </w:r>
      <w:r>
        <w:rPr>
          <w:rFonts w:hint="eastAsia" w:ascii="Times New Roman" w:hAnsi="Times New Roman" w:eastAsia="方正仿宋_GBK" w:cs="Times New Roman"/>
          <w:sz w:val="32"/>
          <w:szCs w:val="32"/>
          <w:lang w:val="en-US" w:eastAsia="zh-CN"/>
        </w:rPr>
        <w:t>落地实施</w:t>
      </w:r>
      <w:r>
        <w:rPr>
          <w:rFonts w:hint="eastAsia" w:ascii="Times New Roman" w:hAnsi="Times New Roman" w:eastAsia="方正仿宋_GBK" w:cs="Times New Roman"/>
          <w:sz w:val="32"/>
          <w:szCs w:val="32"/>
          <w:lang w:eastAsia="zh-CN"/>
        </w:rPr>
        <w:t>。</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542"/>
        <w:gridCol w:w="6004"/>
      </w:tblGrid>
      <w:tr w14:paraId="0CDA6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5000" w:type="pct"/>
            <w:gridSpan w:val="2"/>
            <w:noWrap w:val="0"/>
            <w:tcMar>
              <w:top w:w="120" w:type="dxa"/>
              <w:left w:w="120" w:type="dxa"/>
              <w:bottom w:w="120" w:type="dxa"/>
              <w:right w:w="120" w:type="dxa"/>
            </w:tcMar>
            <w:vAlign w:val="center"/>
          </w:tcPr>
          <w:p w14:paraId="426F27C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rPr>
              <w:t>专栏3</w:t>
            </w:r>
            <w:r>
              <w:rPr>
                <w:rFonts w:hint="eastAsia" w:ascii="Times New Roman" w:hAnsi="Times New Roman" w:eastAsia="黑体"/>
                <w:sz w:val="28"/>
                <w:szCs w:val="28"/>
                <w:lang w:val="en-US" w:eastAsia="zh-CN"/>
              </w:rPr>
              <w:t xml:space="preserve">  </w:t>
            </w:r>
            <w:r>
              <w:rPr>
                <w:rFonts w:hint="eastAsia" w:ascii="Times New Roman" w:hAnsi="Times New Roman" w:eastAsia="黑体"/>
                <w:sz w:val="28"/>
                <w:szCs w:val="28"/>
              </w:rPr>
              <w:t>全域土地综合整治重大工程</w:t>
            </w:r>
          </w:p>
        </w:tc>
      </w:tr>
      <w:tr w14:paraId="1F6D5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487" w:type="pct"/>
            <w:noWrap w:val="0"/>
            <w:tcMar>
              <w:top w:w="120" w:type="dxa"/>
              <w:left w:w="120" w:type="dxa"/>
              <w:bottom w:w="120" w:type="dxa"/>
              <w:right w:w="120" w:type="dxa"/>
            </w:tcMar>
            <w:vAlign w:val="center"/>
          </w:tcPr>
          <w:p w14:paraId="1D54F43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rPr>
              <w:t>整治分区</w:t>
            </w:r>
          </w:p>
        </w:tc>
        <w:tc>
          <w:tcPr>
            <w:tcW w:w="3512" w:type="pct"/>
            <w:noWrap w:val="0"/>
            <w:tcMar>
              <w:top w:w="120" w:type="dxa"/>
              <w:left w:w="120" w:type="dxa"/>
              <w:bottom w:w="120" w:type="dxa"/>
              <w:right w:w="120" w:type="dxa"/>
            </w:tcMar>
            <w:vAlign w:val="center"/>
          </w:tcPr>
          <w:p w14:paraId="6276D8F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rPr>
              <w:t>建设内容</w:t>
            </w:r>
          </w:p>
        </w:tc>
      </w:tr>
      <w:tr w14:paraId="464AD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487" w:type="pct"/>
            <w:noWrap w:val="0"/>
            <w:tcMar>
              <w:top w:w="120" w:type="dxa"/>
              <w:left w:w="120" w:type="dxa"/>
              <w:bottom w:w="120" w:type="dxa"/>
              <w:right w:w="120" w:type="dxa"/>
            </w:tcMar>
            <w:vAlign w:val="center"/>
          </w:tcPr>
          <w:p w14:paraId="4965497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hint="eastAsia" w:ascii="方正楷体_GBK" w:hAnsi="方正楷体_GBK" w:eastAsia="方正楷体_GBK" w:cs="方正楷体_GBK"/>
                <w:sz w:val="28"/>
                <w:szCs w:val="28"/>
                <w:lang w:eastAsia="zh-CN"/>
              </w:rPr>
              <w:t>淮北平原</w:t>
            </w:r>
            <w:r>
              <w:rPr>
                <w:rFonts w:ascii="方正楷体_GBK" w:hAnsi="方正楷体_GBK" w:eastAsia="方正楷体_GBK" w:cs="方正楷体_GBK"/>
                <w:sz w:val="28"/>
                <w:szCs w:val="28"/>
              </w:rPr>
              <w:t>区</w:t>
            </w:r>
          </w:p>
        </w:tc>
        <w:tc>
          <w:tcPr>
            <w:tcW w:w="3512" w:type="pct"/>
            <w:noWrap w:val="0"/>
            <w:tcMar>
              <w:top w:w="120" w:type="dxa"/>
              <w:left w:w="120" w:type="dxa"/>
              <w:bottom w:w="120" w:type="dxa"/>
              <w:right w:w="120" w:type="dxa"/>
            </w:tcMar>
            <w:vAlign w:val="center"/>
          </w:tcPr>
          <w:p w14:paraId="58539F18">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聚焦耕地连片</w:t>
            </w:r>
            <w:r>
              <w:rPr>
                <w:rFonts w:hint="eastAsia" w:ascii="Times New Roman" w:hAnsi="Times New Roman" w:eastAsia="方正仿宋_GBK"/>
                <w:sz w:val="28"/>
                <w:szCs w:val="28"/>
                <w:lang w:val="en-US" w:eastAsia="zh-CN"/>
              </w:rPr>
              <w:t>整治和</w:t>
            </w:r>
            <w:r>
              <w:rPr>
                <w:rFonts w:ascii="Times New Roman" w:hAnsi="Times New Roman" w:eastAsia="方正仿宋_GBK"/>
                <w:sz w:val="28"/>
                <w:szCs w:val="28"/>
              </w:rPr>
              <w:t>采煤沉陷区治理，开展农用地归并、高标准农田</w:t>
            </w:r>
            <w:r>
              <w:rPr>
                <w:rFonts w:hint="eastAsia" w:ascii="Times New Roman" w:hAnsi="Times New Roman" w:eastAsia="方正仿宋_GBK"/>
                <w:sz w:val="28"/>
                <w:szCs w:val="28"/>
                <w:lang w:val="en-US" w:eastAsia="zh-CN"/>
              </w:rPr>
              <w:t>建设</w:t>
            </w:r>
            <w:r>
              <w:rPr>
                <w:rFonts w:ascii="Times New Roman" w:hAnsi="Times New Roman" w:eastAsia="方正仿宋_GBK"/>
                <w:sz w:val="28"/>
                <w:szCs w:val="28"/>
              </w:rPr>
              <w:t>、沉陷区复垦，</w:t>
            </w:r>
            <w:r>
              <w:rPr>
                <w:rFonts w:hint="eastAsia" w:ascii="Times New Roman" w:hAnsi="Times New Roman" w:eastAsia="方正仿宋_GBK"/>
                <w:sz w:val="28"/>
                <w:szCs w:val="28"/>
              </w:rPr>
              <w:t>强化</w:t>
            </w:r>
            <w:r>
              <w:rPr>
                <w:rFonts w:ascii="Times New Roman" w:hAnsi="Times New Roman" w:eastAsia="方正仿宋_GBK"/>
                <w:sz w:val="28"/>
                <w:szCs w:val="28"/>
              </w:rPr>
              <w:t>粮食核心产区。</w:t>
            </w:r>
          </w:p>
        </w:tc>
      </w:tr>
      <w:tr w14:paraId="71D73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487" w:type="pct"/>
            <w:noWrap w:val="0"/>
            <w:tcMar>
              <w:top w:w="120" w:type="dxa"/>
              <w:left w:w="120" w:type="dxa"/>
              <w:bottom w:w="120" w:type="dxa"/>
              <w:right w:w="120" w:type="dxa"/>
            </w:tcMar>
            <w:vAlign w:val="center"/>
          </w:tcPr>
          <w:p w14:paraId="5DDCA3D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江淮丘陵区</w:t>
            </w:r>
          </w:p>
        </w:tc>
        <w:tc>
          <w:tcPr>
            <w:tcW w:w="3512" w:type="pct"/>
            <w:noWrap w:val="0"/>
            <w:tcMar>
              <w:top w:w="120" w:type="dxa"/>
              <w:left w:w="120" w:type="dxa"/>
              <w:bottom w:w="120" w:type="dxa"/>
              <w:right w:w="120" w:type="dxa"/>
            </w:tcMar>
            <w:vAlign w:val="center"/>
          </w:tcPr>
          <w:p w14:paraId="452E667B">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推进坡耕地治理、水土流失防控、废弃矿山修复，</w:t>
            </w:r>
            <w:r>
              <w:rPr>
                <w:rFonts w:hint="eastAsia" w:ascii="Times New Roman" w:hAnsi="Times New Roman" w:eastAsia="方正仿宋_GBK"/>
                <w:sz w:val="28"/>
                <w:szCs w:val="28"/>
              </w:rPr>
              <w:t>实</w:t>
            </w:r>
            <w:r>
              <w:rPr>
                <w:rFonts w:hint="eastAsia" w:ascii="Times New Roman" w:hAnsi="Times New Roman" w:eastAsia="方正仿宋_GBK" w:cs="Times New Roman"/>
                <w:sz w:val="28"/>
                <w:szCs w:val="28"/>
              </w:rPr>
              <w:t>施</w:t>
            </w:r>
            <w:r>
              <w:rPr>
                <w:rFonts w:ascii="Times New Roman" w:hAnsi="Times New Roman" w:eastAsia="方正仿宋_GBK" w:cs="Times New Roman"/>
                <w:sz w:val="28"/>
                <w:szCs w:val="28"/>
              </w:rPr>
              <w:t>土壤改良、生态廊道建设，构建</w:t>
            </w:r>
            <w:r>
              <w:rPr>
                <w:rFonts w:hint="eastAsia" w:ascii="Times New Roman" w:hAnsi="Times New Roman" w:eastAsia="方正仿宋_GBK" w:cs="Times New Roman"/>
                <w:sz w:val="28"/>
                <w:szCs w:val="28"/>
                <w:lang w:eastAsia="zh-CN"/>
              </w:rPr>
              <w:t>“</w:t>
            </w:r>
            <w:r>
              <w:rPr>
                <w:rFonts w:ascii="Times New Roman" w:hAnsi="Times New Roman" w:eastAsia="方正仿宋_GBK" w:cs="Times New Roman"/>
                <w:sz w:val="28"/>
                <w:szCs w:val="28"/>
              </w:rPr>
              <w:t>耕地+生态</w:t>
            </w:r>
            <w:r>
              <w:rPr>
                <w:rFonts w:hint="eastAsia" w:ascii="Times New Roman" w:hAnsi="Times New Roman" w:eastAsia="方正仿宋_GBK" w:cs="Times New Roman"/>
                <w:sz w:val="28"/>
                <w:szCs w:val="28"/>
                <w:lang w:eastAsia="zh-CN"/>
              </w:rPr>
              <w:t>”</w:t>
            </w:r>
            <w:r>
              <w:rPr>
                <w:rFonts w:ascii="Times New Roman" w:hAnsi="Times New Roman" w:eastAsia="方正仿宋_GBK" w:cs="Times New Roman"/>
                <w:sz w:val="28"/>
                <w:szCs w:val="28"/>
              </w:rPr>
              <w:t>复合空间。</w:t>
            </w:r>
          </w:p>
        </w:tc>
      </w:tr>
      <w:tr w14:paraId="1785E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487" w:type="pct"/>
            <w:noWrap w:val="0"/>
            <w:tcMar>
              <w:top w:w="120" w:type="dxa"/>
              <w:left w:w="120" w:type="dxa"/>
              <w:bottom w:w="120" w:type="dxa"/>
              <w:right w:w="120" w:type="dxa"/>
            </w:tcMar>
            <w:vAlign w:val="center"/>
          </w:tcPr>
          <w:p w14:paraId="178CAC3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沿江平原区</w:t>
            </w:r>
          </w:p>
        </w:tc>
        <w:tc>
          <w:tcPr>
            <w:tcW w:w="3512" w:type="pct"/>
            <w:noWrap w:val="0"/>
            <w:tcMar>
              <w:top w:w="120" w:type="dxa"/>
              <w:left w:w="120" w:type="dxa"/>
              <w:bottom w:w="120" w:type="dxa"/>
              <w:right w:w="120" w:type="dxa"/>
            </w:tcMar>
            <w:vAlign w:val="center"/>
          </w:tcPr>
          <w:p w14:paraId="19C5643A">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实施涝渍耕地改造、闲置建设用地盘活，建设现代农业城乡融合示范区。</w:t>
            </w:r>
          </w:p>
        </w:tc>
      </w:tr>
      <w:tr w14:paraId="23886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487" w:type="pct"/>
            <w:noWrap w:val="0"/>
            <w:tcMar>
              <w:top w:w="120" w:type="dxa"/>
              <w:left w:w="120" w:type="dxa"/>
              <w:bottom w:w="120" w:type="dxa"/>
              <w:right w:w="120" w:type="dxa"/>
            </w:tcMar>
            <w:vAlign w:val="center"/>
          </w:tcPr>
          <w:p w14:paraId="7FE92FC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皖南</w:t>
            </w:r>
            <w:r>
              <w:rPr>
                <w:rFonts w:hint="eastAsia" w:ascii="方正楷体_GBK" w:hAnsi="方正楷体_GBK" w:eastAsia="方正楷体_GBK" w:cs="方正楷体_GBK"/>
                <w:sz w:val="28"/>
                <w:szCs w:val="28"/>
                <w:lang w:val="en-US" w:eastAsia="zh-CN"/>
              </w:rPr>
              <w:t>山区、</w:t>
            </w:r>
            <w:r>
              <w:rPr>
                <w:rFonts w:ascii="方正楷体_GBK" w:hAnsi="方正楷体_GBK" w:eastAsia="方正楷体_GBK" w:cs="方正楷体_GBK"/>
                <w:sz w:val="28"/>
                <w:szCs w:val="28"/>
              </w:rPr>
              <w:t>皖西</w:t>
            </w:r>
            <w:r>
              <w:rPr>
                <w:rFonts w:hint="eastAsia" w:ascii="方正楷体_GBK" w:hAnsi="方正楷体_GBK" w:eastAsia="方正楷体_GBK" w:cs="方正楷体_GBK"/>
                <w:sz w:val="28"/>
                <w:szCs w:val="28"/>
                <w:lang w:val="en-US" w:eastAsia="zh-CN"/>
              </w:rPr>
              <w:t>大别</w:t>
            </w:r>
            <w:r>
              <w:rPr>
                <w:rFonts w:ascii="方正楷体_GBK" w:hAnsi="方正楷体_GBK" w:eastAsia="方正楷体_GBK" w:cs="方正楷体_GBK"/>
                <w:sz w:val="28"/>
                <w:szCs w:val="28"/>
              </w:rPr>
              <w:t>山</w:t>
            </w:r>
            <w:r>
              <w:rPr>
                <w:rFonts w:hint="eastAsia" w:ascii="方正楷体_GBK" w:hAnsi="方正楷体_GBK" w:eastAsia="方正楷体_GBK" w:cs="方正楷体_GBK"/>
                <w:sz w:val="28"/>
                <w:szCs w:val="28"/>
              </w:rPr>
              <w:t>区</w:t>
            </w:r>
          </w:p>
        </w:tc>
        <w:tc>
          <w:tcPr>
            <w:tcW w:w="3512" w:type="pct"/>
            <w:noWrap w:val="0"/>
            <w:tcMar>
              <w:top w:w="120" w:type="dxa"/>
              <w:left w:w="120" w:type="dxa"/>
              <w:bottom w:w="120" w:type="dxa"/>
              <w:right w:w="120" w:type="dxa"/>
            </w:tcMar>
            <w:vAlign w:val="center"/>
          </w:tcPr>
          <w:p w14:paraId="38AC75B0">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开展生态保育、坡耕地梯田化、特色产业培育，协同推进生态修复</w:t>
            </w:r>
            <w:r>
              <w:rPr>
                <w:rFonts w:hint="eastAsia" w:ascii="Times New Roman" w:hAnsi="Times New Roman" w:eastAsia="方正仿宋_GBK"/>
                <w:sz w:val="28"/>
                <w:szCs w:val="28"/>
              </w:rPr>
              <w:t>与</w:t>
            </w:r>
            <w:r>
              <w:rPr>
                <w:rFonts w:ascii="Times New Roman" w:hAnsi="Times New Roman" w:eastAsia="方正仿宋_GBK"/>
                <w:sz w:val="28"/>
                <w:szCs w:val="28"/>
              </w:rPr>
              <w:t>耕地保护</w:t>
            </w:r>
            <w:r>
              <w:rPr>
                <w:rFonts w:hint="eastAsia" w:ascii="Times New Roman" w:hAnsi="Times New Roman" w:eastAsia="方正仿宋_GBK"/>
                <w:sz w:val="28"/>
                <w:szCs w:val="28"/>
              </w:rPr>
              <w:t>。</w:t>
            </w:r>
          </w:p>
        </w:tc>
      </w:tr>
    </w:tbl>
    <w:p w14:paraId="3580A69F">
      <w:pPr>
        <w:keepNext w:val="0"/>
        <w:keepLines w:val="0"/>
        <w:pageBreakBefore w:val="0"/>
        <w:kinsoku/>
        <w:wordWrap/>
        <w:overflowPunct/>
        <w:topLinePunct w:val="0"/>
        <w:autoSpaceDE/>
        <w:autoSpaceDN/>
        <w:bidi w:val="0"/>
        <w:adjustRightInd/>
        <w:snapToGrid/>
        <w:spacing w:line="560" w:lineRule="exact"/>
        <w:ind w:firstLine="641"/>
        <w:textAlignment w:val="auto"/>
        <w:rPr>
          <w:rFonts w:hint="eastAsia" w:ascii="Times New Roman" w:hAnsi="Times New Roman" w:eastAsia="方正仿宋_GBK"/>
          <w:sz w:val="32"/>
          <w:szCs w:val="32"/>
          <w:lang w:eastAsia="zh-CN"/>
        </w:rPr>
      </w:pPr>
      <w:r>
        <w:rPr>
          <w:rFonts w:hint="eastAsia" w:ascii="方正楷体_GBK" w:hAnsi="方正楷体_GBK" w:eastAsia="方正楷体_GBK" w:cs="方正楷体_GBK"/>
          <w:sz w:val="32"/>
          <w:szCs w:val="32"/>
          <w:lang w:val="en-US" w:eastAsia="zh-CN"/>
        </w:rPr>
        <w:t>加强耕地用途管控。</w:t>
      </w:r>
      <w:r>
        <w:rPr>
          <w:rFonts w:ascii="Times New Roman" w:hAnsi="Times New Roman" w:eastAsia="方正仿宋_GBK"/>
          <w:sz w:val="32"/>
          <w:szCs w:val="32"/>
        </w:rPr>
        <w:t>严格管控</w:t>
      </w:r>
      <w:r>
        <w:rPr>
          <w:rFonts w:hint="eastAsia" w:ascii="Times New Roman" w:hAnsi="Times New Roman" w:eastAsia="方正仿宋_GBK"/>
          <w:sz w:val="32"/>
          <w:szCs w:val="32"/>
          <w:highlight w:val="none"/>
          <w:lang w:val="en-US" w:eastAsia="zh-CN"/>
        </w:rPr>
        <w:t>非农</w:t>
      </w:r>
      <w:r>
        <w:rPr>
          <w:rFonts w:ascii="Times New Roman" w:hAnsi="Times New Roman" w:eastAsia="方正仿宋_GBK"/>
          <w:sz w:val="32"/>
          <w:szCs w:val="32"/>
          <w:highlight w:val="none"/>
        </w:rPr>
        <w:t>建设</w:t>
      </w:r>
      <w:r>
        <w:rPr>
          <w:rFonts w:ascii="Times New Roman" w:hAnsi="Times New Roman" w:eastAsia="方正仿宋_GBK"/>
          <w:sz w:val="32"/>
          <w:szCs w:val="32"/>
        </w:rPr>
        <w:t>占用耕地，优先保护城市周边永久基本农田与优质耕地。建设项目</w:t>
      </w:r>
      <w:r>
        <w:rPr>
          <w:rFonts w:hint="eastAsia" w:ascii="Times New Roman" w:hAnsi="Times New Roman" w:eastAsia="方正仿宋_GBK"/>
          <w:sz w:val="32"/>
          <w:szCs w:val="32"/>
          <w:lang w:val="en-US" w:eastAsia="zh-CN"/>
        </w:rPr>
        <w:t>选址应</w:t>
      </w:r>
      <w:r>
        <w:rPr>
          <w:rFonts w:ascii="Times New Roman" w:hAnsi="Times New Roman" w:eastAsia="方正仿宋_GBK"/>
          <w:sz w:val="32"/>
          <w:szCs w:val="32"/>
        </w:rPr>
        <w:t>开展比选论证，少占、不占耕地</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lang w:val="en-US" w:eastAsia="zh-CN"/>
        </w:rPr>
        <w:t>确需</w:t>
      </w:r>
      <w:r>
        <w:rPr>
          <w:rFonts w:ascii="Times New Roman" w:hAnsi="Times New Roman" w:eastAsia="方正仿宋_GBK"/>
          <w:sz w:val="32"/>
          <w:szCs w:val="32"/>
        </w:rPr>
        <w:t>占用</w:t>
      </w:r>
      <w:r>
        <w:rPr>
          <w:rFonts w:hint="eastAsia" w:ascii="Times New Roman" w:hAnsi="Times New Roman" w:eastAsia="方正仿宋_GBK"/>
          <w:sz w:val="32"/>
          <w:szCs w:val="32"/>
          <w:lang w:val="en-US" w:eastAsia="zh-CN"/>
        </w:rPr>
        <w:t>的，</w:t>
      </w:r>
      <w:r>
        <w:rPr>
          <w:rFonts w:ascii="Times New Roman" w:hAnsi="Times New Roman" w:eastAsia="方正仿宋_GBK"/>
          <w:sz w:val="32"/>
          <w:szCs w:val="32"/>
        </w:rPr>
        <w:t>严格落实耕作层剥离再利用</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rPr>
        <w:t>临时用地按批准范围和期限使用，使用期满后及时恢复种植条件</w:t>
      </w:r>
      <w:r>
        <w:rPr>
          <w:rFonts w:ascii="Times New Roman" w:hAnsi="Times New Roman" w:eastAsia="方正仿宋_GBK"/>
          <w:sz w:val="32"/>
          <w:szCs w:val="32"/>
        </w:rPr>
        <w:t>。强化节约集约用地，严格非农建设</w:t>
      </w:r>
      <w:r>
        <w:rPr>
          <w:rFonts w:hint="eastAsia" w:ascii="Times New Roman" w:hAnsi="Times New Roman" w:eastAsia="方正仿宋_GBK"/>
          <w:sz w:val="32"/>
          <w:szCs w:val="32"/>
        </w:rPr>
        <w:t>占用</w:t>
      </w:r>
      <w:r>
        <w:rPr>
          <w:rFonts w:ascii="Times New Roman" w:hAnsi="Times New Roman" w:eastAsia="方正仿宋_GBK"/>
          <w:sz w:val="32"/>
          <w:szCs w:val="32"/>
        </w:rPr>
        <w:t>耕地审批</w:t>
      </w:r>
      <w:r>
        <w:rPr>
          <w:rFonts w:hint="eastAsia" w:ascii="Times New Roman" w:hAnsi="Times New Roman" w:eastAsia="方正仿宋_GBK"/>
          <w:sz w:val="32"/>
          <w:szCs w:val="32"/>
          <w:lang w:eastAsia="zh-CN"/>
        </w:rPr>
        <w:t>，</w:t>
      </w:r>
      <w:r>
        <w:rPr>
          <w:rFonts w:ascii="Times New Roman" w:hAnsi="Times New Roman" w:eastAsia="方正仿宋_GBK"/>
          <w:sz w:val="32"/>
          <w:szCs w:val="32"/>
        </w:rPr>
        <w:t>推进</w:t>
      </w:r>
      <w:r>
        <w:rPr>
          <w:rFonts w:hint="eastAsia" w:ascii="Times New Roman" w:hAnsi="Times New Roman" w:eastAsia="方正仿宋_GBK"/>
          <w:sz w:val="32"/>
          <w:szCs w:val="32"/>
          <w:lang w:val="en-US" w:eastAsia="zh-CN"/>
        </w:rPr>
        <w:t>存量用地盘活和</w:t>
      </w:r>
      <w:r>
        <w:rPr>
          <w:rFonts w:ascii="Times New Roman" w:hAnsi="Times New Roman" w:eastAsia="方正仿宋_GBK"/>
          <w:sz w:val="32"/>
          <w:szCs w:val="32"/>
        </w:rPr>
        <w:t>低效用地再开发，深化</w:t>
      </w:r>
      <w:r>
        <w:rPr>
          <w:rFonts w:hint="eastAsia" w:ascii="Times New Roman" w:hAnsi="Times New Roman" w:eastAsia="方正仿宋_GBK"/>
          <w:sz w:val="32"/>
          <w:szCs w:val="32"/>
        </w:rPr>
        <w:t>“</w:t>
      </w:r>
      <w:r>
        <w:rPr>
          <w:rFonts w:ascii="Times New Roman" w:hAnsi="Times New Roman" w:eastAsia="方正仿宋_GBK"/>
          <w:sz w:val="32"/>
          <w:szCs w:val="32"/>
        </w:rPr>
        <w:t>增存</w:t>
      </w:r>
      <w:r>
        <w:rPr>
          <w:rFonts w:hint="eastAsia" w:ascii="Times New Roman" w:hAnsi="Times New Roman" w:eastAsia="方正仿宋_GBK"/>
          <w:sz w:val="32"/>
          <w:szCs w:val="32"/>
        </w:rPr>
        <w:t>统筹”</w:t>
      </w:r>
      <w:r>
        <w:rPr>
          <w:rFonts w:ascii="Times New Roman" w:hAnsi="Times New Roman" w:eastAsia="方正仿宋_GBK"/>
          <w:sz w:val="32"/>
          <w:szCs w:val="32"/>
        </w:rPr>
        <w:t>。严控耕地转为其他农用地，禁止在耕地上造林绿化、挖湖造景。强化永久基本农田动态监测，严禁转为其他农用地</w:t>
      </w:r>
      <w:r>
        <w:rPr>
          <w:rFonts w:hint="eastAsia" w:ascii="Times New Roman" w:hAnsi="Times New Roman" w:eastAsia="方正仿宋_GBK"/>
          <w:sz w:val="32"/>
          <w:szCs w:val="32"/>
        </w:rPr>
        <w:t>，</w:t>
      </w:r>
      <w:r>
        <w:rPr>
          <w:rFonts w:hint="eastAsia" w:ascii="Times New Roman" w:hAnsi="Times New Roman" w:eastAsia="方正仿宋_GBK"/>
          <w:sz w:val="32"/>
          <w:szCs w:val="32"/>
          <w:highlight w:val="none"/>
          <w:lang w:val="en-US" w:eastAsia="zh-CN"/>
        </w:rPr>
        <w:t>严防</w:t>
      </w:r>
      <w:r>
        <w:rPr>
          <w:rFonts w:hint="eastAsia" w:ascii="Times New Roman" w:hAnsi="Times New Roman" w:eastAsia="方正仿宋_GBK"/>
          <w:sz w:val="32"/>
          <w:szCs w:val="32"/>
        </w:rPr>
        <w:t>“</w:t>
      </w:r>
      <w:r>
        <w:rPr>
          <w:rFonts w:ascii="Times New Roman" w:hAnsi="Times New Roman" w:eastAsia="方正仿宋_GBK"/>
          <w:sz w:val="32"/>
          <w:szCs w:val="32"/>
        </w:rPr>
        <w:t>非粮化</w:t>
      </w:r>
      <w:r>
        <w:rPr>
          <w:rFonts w:hint="eastAsia" w:ascii="Times New Roman" w:hAnsi="Times New Roman" w:eastAsia="方正仿宋_GBK"/>
          <w:sz w:val="32"/>
          <w:szCs w:val="32"/>
        </w:rPr>
        <w:t>”</w:t>
      </w:r>
      <w:r>
        <w:rPr>
          <w:rFonts w:ascii="Times New Roman" w:hAnsi="Times New Roman" w:eastAsia="方正仿宋_GBK"/>
          <w:sz w:val="32"/>
          <w:szCs w:val="32"/>
        </w:rPr>
        <w:t>增量，稳妥有序处置存量问题。压实县乡属地管控责任</w:t>
      </w:r>
      <w:r>
        <w:rPr>
          <w:rFonts w:hint="eastAsia" w:ascii="Times New Roman" w:hAnsi="Times New Roman" w:eastAsia="方正仿宋_GBK"/>
          <w:sz w:val="32"/>
          <w:szCs w:val="32"/>
        </w:rPr>
        <w:t>，</w:t>
      </w:r>
      <w:r>
        <w:rPr>
          <w:rFonts w:ascii="Times New Roman" w:hAnsi="Times New Roman" w:eastAsia="方正仿宋_GBK"/>
          <w:sz w:val="32"/>
          <w:szCs w:val="32"/>
        </w:rPr>
        <w:t>强化乡镇前端巡查管控，发挥村集体经济组织、</w:t>
      </w:r>
      <w:r>
        <w:rPr>
          <w:rFonts w:hint="eastAsia" w:ascii="Times New Roman" w:hAnsi="Times New Roman" w:eastAsia="方正仿宋_GBK"/>
          <w:sz w:val="32"/>
          <w:szCs w:val="32"/>
        </w:rPr>
        <w:t>巡田员等</w:t>
      </w:r>
      <w:r>
        <w:rPr>
          <w:rFonts w:ascii="Times New Roman" w:hAnsi="Times New Roman" w:eastAsia="方正仿宋_GBK"/>
          <w:sz w:val="32"/>
          <w:szCs w:val="32"/>
        </w:rPr>
        <w:t>基层管护作用，健全网格化管护体系，</w:t>
      </w:r>
      <w:r>
        <w:rPr>
          <w:rFonts w:hint="eastAsia" w:ascii="Times New Roman" w:hAnsi="Times New Roman" w:eastAsia="方正仿宋_GBK"/>
          <w:sz w:val="32"/>
          <w:szCs w:val="32"/>
          <w:lang w:val="en-US" w:eastAsia="zh-CN"/>
        </w:rPr>
        <w:t>将</w:t>
      </w:r>
      <w:r>
        <w:rPr>
          <w:rFonts w:ascii="Times New Roman" w:hAnsi="Times New Roman" w:eastAsia="方正仿宋_GBK"/>
          <w:sz w:val="32"/>
          <w:szCs w:val="32"/>
        </w:rPr>
        <w:t>耕地用途管控责任传导至基层一线</w:t>
      </w:r>
      <w:r>
        <w:rPr>
          <w:rFonts w:hint="eastAsia" w:ascii="Times New Roman" w:hAnsi="Times New Roman" w:eastAsia="方正仿宋_GBK"/>
          <w:sz w:val="32"/>
          <w:szCs w:val="32"/>
        </w:rPr>
        <w:t>，</w:t>
      </w:r>
      <w:r>
        <w:rPr>
          <w:rFonts w:ascii="Times New Roman" w:hAnsi="Times New Roman" w:eastAsia="方正仿宋_GBK"/>
          <w:sz w:val="32"/>
          <w:szCs w:val="32"/>
        </w:rPr>
        <w:t>切实守住耕地用途管控第一道关口。</w:t>
      </w:r>
    </w:p>
    <w:p w14:paraId="7673C411">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Style w:val="9"/>
          <w:rFonts w:hint="eastAsia" w:ascii="方正楷体_GBK" w:hAnsi="方正楷体_GBK" w:eastAsia="方正楷体_GBK" w:cs="方正楷体_GBK"/>
          <w:kern w:val="0"/>
          <w:sz w:val="32"/>
          <w:szCs w:val="32"/>
          <w:lang w:bidi="ar"/>
        </w:rPr>
      </w:pPr>
      <w:r>
        <w:rPr>
          <w:rStyle w:val="9"/>
          <w:rFonts w:hint="eastAsia" w:ascii="方正楷体_GBK" w:hAnsi="方正楷体_GBK" w:eastAsia="方正楷体_GBK" w:cs="方正楷体_GBK"/>
          <w:kern w:val="0"/>
          <w:sz w:val="32"/>
          <w:szCs w:val="32"/>
          <w:lang w:bidi="ar"/>
        </w:rPr>
        <w:t>（二）实施农田提质工程提升稳产保供能力</w:t>
      </w:r>
    </w:p>
    <w:p w14:paraId="07D3BB08">
      <w:pPr>
        <w:keepNext w:val="0"/>
        <w:keepLines w:val="0"/>
        <w:pageBreakBefore w:val="0"/>
        <w:kinsoku/>
        <w:wordWrap/>
        <w:overflowPunct/>
        <w:topLinePunct w:val="0"/>
        <w:autoSpaceDE/>
        <w:autoSpaceDN/>
        <w:bidi w:val="0"/>
        <w:adjustRightInd/>
        <w:snapToGrid/>
        <w:spacing w:line="560" w:lineRule="exact"/>
        <w:ind w:firstLine="641"/>
        <w:textAlignment w:val="auto"/>
        <w:rPr>
          <w:rFonts w:ascii="Times New Roman" w:hAnsi="Times New Roman" w:eastAsia="方正仿宋_GBK"/>
          <w:sz w:val="32"/>
          <w:szCs w:val="32"/>
        </w:rPr>
      </w:pPr>
      <w:r>
        <w:rPr>
          <w:rFonts w:hint="eastAsia" w:ascii="方正楷体_GBK" w:hAnsi="方正楷体_GBK" w:eastAsia="方正楷体_GBK" w:cs="方正楷体_GBK"/>
          <w:sz w:val="32"/>
          <w:szCs w:val="32"/>
          <w:lang w:val="en-US" w:eastAsia="zh-CN"/>
        </w:rPr>
        <w:t>大力推进高标准农田建设。</w:t>
      </w:r>
      <w:r>
        <w:rPr>
          <w:rFonts w:hint="eastAsia" w:ascii="Times New Roman" w:hAnsi="Times New Roman" w:eastAsia="方正仿宋_GBK"/>
          <w:sz w:val="32"/>
          <w:szCs w:val="32"/>
        </w:rPr>
        <w:t>逐步将符合条件的</w:t>
      </w:r>
      <w:r>
        <w:rPr>
          <w:rFonts w:ascii="Times New Roman" w:hAnsi="Times New Roman" w:eastAsia="方正仿宋_GBK"/>
          <w:sz w:val="32"/>
          <w:szCs w:val="32"/>
        </w:rPr>
        <w:t>永久基本农田全部建成高标准农田，坚持新增建设和改造提升并举，分区补齐农业基础设施短板。强化项目选址与耕地空间、永久基本农田的衔接，优先在耕地保护空间范围内布局，严禁违规将不稳定耕地大规模纳入高标准农田建设范围。立足自然条件分区施策，兼顾生态防护，实现耕地质量提升与生态保护协同。</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793"/>
        <w:gridCol w:w="5753"/>
      </w:tblGrid>
      <w:tr w14:paraId="257EE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5000" w:type="pct"/>
            <w:gridSpan w:val="2"/>
            <w:noWrap w:val="0"/>
            <w:tcMar>
              <w:top w:w="120" w:type="dxa"/>
              <w:left w:w="120" w:type="dxa"/>
              <w:bottom w:w="120" w:type="dxa"/>
              <w:right w:w="120" w:type="dxa"/>
            </w:tcMar>
            <w:vAlign w:val="center"/>
          </w:tcPr>
          <w:p w14:paraId="52A7B06A">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rPr>
              <w:t>专栏</w:t>
            </w:r>
            <w:r>
              <w:rPr>
                <w:rFonts w:hint="eastAsia" w:ascii="Times New Roman" w:hAnsi="Times New Roman" w:eastAsia="黑体"/>
                <w:sz w:val="28"/>
                <w:szCs w:val="28"/>
                <w:lang w:val="en-US" w:eastAsia="zh-CN"/>
              </w:rPr>
              <w:t xml:space="preserve">4  </w:t>
            </w:r>
            <w:r>
              <w:rPr>
                <w:rFonts w:hint="eastAsia" w:ascii="Times New Roman" w:hAnsi="Times New Roman" w:eastAsia="黑体"/>
                <w:sz w:val="28"/>
                <w:szCs w:val="28"/>
              </w:rPr>
              <w:t>高标准农田建设重点工程</w:t>
            </w:r>
          </w:p>
        </w:tc>
      </w:tr>
      <w:tr w14:paraId="63685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634" w:type="pct"/>
            <w:noWrap w:val="0"/>
            <w:tcMar>
              <w:top w:w="120" w:type="dxa"/>
              <w:left w:w="120" w:type="dxa"/>
              <w:bottom w:w="120" w:type="dxa"/>
              <w:right w:w="120" w:type="dxa"/>
            </w:tcMar>
            <w:vAlign w:val="center"/>
          </w:tcPr>
          <w:p w14:paraId="393D67A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rPr>
              <w:t>工程类型</w:t>
            </w:r>
          </w:p>
        </w:tc>
        <w:tc>
          <w:tcPr>
            <w:tcW w:w="3365" w:type="pct"/>
            <w:noWrap w:val="0"/>
            <w:tcMar>
              <w:top w:w="120" w:type="dxa"/>
              <w:left w:w="120" w:type="dxa"/>
              <w:bottom w:w="120" w:type="dxa"/>
              <w:right w:w="120" w:type="dxa"/>
            </w:tcMar>
            <w:vAlign w:val="center"/>
          </w:tcPr>
          <w:p w14:paraId="7F0825D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rPr>
              <w:t>建设内容</w:t>
            </w:r>
          </w:p>
        </w:tc>
      </w:tr>
      <w:tr w14:paraId="48F03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634" w:type="pct"/>
            <w:noWrap w:val="0"/>
            <w:tcMar>
              <w:top w:w="120" w:type="dxa"/>
              <w:left w:w="120" w:type="dxa"/>
              <w:bottom w:w="120" w:type="dxa"/>
              <w:right w:w="120" w:type="dxa"/>
            </w:tcMar>
            <w:vAlign w:val="center"/>
          </w:tcPr>
          <w:p w14:paraId="4462CFE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田块整治</w:t>
            </w:r>
          </w:p>
        </w:tc>
        <w:tc>
          <w:tcPr>
            <w:tcW w:w="3365" w:type="pct"/>
            <w:noWrap w:val="0"/>
            <w:tcMar>
              <w:top w:w="120" w:type="dxa"/>
              <w:left w:w="120" w:type="dxa"/>
              <w:bottom w:w="120" w:type="dxa"/>
              <w:right w:w="120" w:type="dxa"/>
            </w:tcMar>
            <w:vAlign w:val="center"/>
          </w:tcPr>
          <w:p w14:paraId="603FB885">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皖北推进规整条田、方田建设，适配机械化作业</w:t>
            </w:r>
            <w:r>
              <w:rPr>
                <w:rFonts w:hint="eastAsia" w:ascii="Times New Roman" w:hAnsi="Times New Roman" w:eastAsia="方正仿宋_GBK"/>
                <w:sz w:val="28"/>
                <w:szCs w:val="28"/>
              </w:rPr>
              <w:t>，</w:t>
            </w:r>
            <w:r>
              <w:rPr>
                <w:rFonts w:ascii="Times New Roman" w:hAnsi="Times New Roman" w:eastAsia="方正仿宋_GBK"/>
                <w:sz w:val="28"/>
                <w:szCs w:val="28"/>
              </w:rPr>
              <w:t>丘陵山地修建水平梯田，配套水土保持设施</w:t>
            </w:r>
            <w:r>
              <w:rPr>
                <w:rFonts w:hint="eastAsia" w:ascii="Times New Roman" w:hAnsi="Times New Roman" w:eastAsia="方正仿宋_GBK"/>
                <w:sz w:val="28"/>
                <w:szCs w:val="28"/>
              </w:rPr>
              <w:t>，</w:t>
            </w:r>
            <w:r>
              <w:rPr>
                <w:rFonts w:ascii="Times New Roman" w:hAnsi="Times New Roman" w:eastAsia="方正仿宋_GBK"/>
                <w:sz w:val="28"/>
                <w:szCs w:val="28"/>
              </w:rPr>
              <w:t>沿江圩区平整归并零散地块。</w:t>
            </w:r>
          </w:p>
        </w:tc>
      </w:tr>
      <w:tr w14:paraId="1285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634" w:type="pct"/>
            <w:noWrap w:val="0"/>
            <w:tcMar>
              <w:top w:w="120" w:type="dxa"/>
              <w:left w:w="120" w:type="dxa"/>
              <w:bottom w:w="120" w:type="dxa"/>
              <w:right w:w="120" w:type="dxa"/>
            </w:tcMar>
            <w:vAlign w:val="center"/>
          </w:tcPr>
          <w:p w14:paraId="680CA29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灌排体系</w:t>
            </w:r>
          </w:p>
        </w:tc>
        <w:tc>
          <w:tcPr>
            <w:tcW w:w="3365" w:type="pct"/>
            <w:noWrap w:val="0"/>
            <w:tcMar>
              <w:top w:w="120" w:type="dxa"/>
              <w:left w:w="120" w:type="dxa"/>
              <w:bottom w:w="120" w:type="dxa"/>
              <w:right w:w="120" w:type="dxa"/>
            </w:tcMar>
            <w:vAlign w:val="center"/>
          </w:tcPr>
          <w:p w14:paraId="657807EA">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对接大中型灌区与小型水利设施</w:t>
            </w:r>
            <w:r>
              <w:rPr>
                <w:rFonts w:hint="eastAsia" w:ascii="Times New Roman" w:hAnsi="Times New Roman" w:eastAsia="方正仿宋_GBK"/>
                <w:sz w:val="28"/>
                <w:szCs w:val="28"/>
              </w:rPr>
              <w:t>，</w:t>
            </w:r>
            <w:r>
              <w:rPr>
                <w:rFonts w:ascii="Times New Roman" w:hAnsi="Times New Roman" w:eastAsia="方正仿宋_GBK"/>
                <w:sz w:val="28"/>
                <w:szCs w:val="28"/>
              </w:rPr>
              <w:t>皖北推广节水灌溉</w:t>
            </w:r>
            <w:r>
              <w:rPr>
                <w:rFonts w:hint="eastAsia" w:ascii="Times New Roman" w:hAnsi="Times New Roman" w:eastAsia="方正仿宋_GBK"/>
                <w:sz w:val="28"/>
                <w:szCs w:val="28"/>
              </w:rPr>
              <w:t>，</w:t>
            </w:r>
            <w:r>
              <w:rPr>
                <w:rFonts w:ascii="Times New Roman" w:hAnsi="Times New Roman" w:eastAsia="方正仿宋_GBK"/>
                <w:sz w:val="28"/>
                <w:szCs w:val="28"/>
              </w:rPr>
              <w:t>丘陵山区补强塘坝泵站</w:t>
            </w:r>
            <w:r>
              <w:rPr>
                <w:rFonts w:hint="eastAsia" w:ascii="Times New Roman" w:hAnsi="Times New Roman" w:eastAsia="方正仿宋_GBK"/>
                <w:sz w:val="28"/>
                <w:szCs w:val="28"/>
              </w:rPr>
              <w:t>，</w:t>
            </w:r>
            <w:r>
              <w:rPr>
                <w:rFonts w:ascii="Times New Roman" w:hAnsi="Times New Roman" w:eastAsia="方正仿宋_GBK"/>
                <w:sz w:val="28"/>
                <w:szCs w:val="28"/>
              </w:rPr>
              <w:t>沿江圩区强化闸站沟渠排涝除渍</w:t>
            </w:r>
            <w:r>
              <w:rPr>
                <w:rFonts w:hint="eastAsia" w:ascii="Times New Roman" w:hAnsi="Times New Roman" w:eastAsia="方正仿宋_GBK"/>
                <w:sz w:val="28"/>
                <w:szCs w:val="28"/>
              </w:rPr>
              <w:t>。</w:t>
            </w:r>
          </w:p>
        </w:tc>
      </w:tr>
      <w:tr w14:paraId="32D3B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634" w:type="pct"/>
            <w:noWrap w:val="0"/>
            <w:tcMar>
              <w:top w:w="120" w:type="dxa"/>
              <w:left w:w="120" w:type="dxa"/>
              <w:bottom w:w="120" w:type="dxa"/>
              <w:right w:w="120" w:type="dxa"/>
            </w:tcMar>
            <w:vAlign w:val="center"/>
          </w:tcPr>
          <w:p w14:paraId="0CB1513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地力提升与生态防护</w:t>
            </w:r>
          </w:p>
        </w:tc>
        <w:tc>
          <w:tcPr>
            <w:tcW w:w="3365" w:type="pct"/>
            <w:noWrap w:val="0"/>
            <w:tcMar>
              <w:top w:w="120" w:type="dxa"/>
              <w:left w:w="120" w:type="dxa"/>
              <w:bottom w:w="120" w:type="dxa"/>
              <w:right w:w="120" w:type="dxa"/>
            </w:tcMar>
            <w:vAlign w:val="center"/>
          </w:tcPr>
          <w:p w14:paraId="1566111B">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全域秸秆还田、绿肥种植、增施有机肥</w:t>
            </w:r>
            <w:r>
              <w:rPr>
                <w:rFonts w:hint="eastAsia" w:ascii="Times New Roman" w:hAnsi="Times New Roman" w:eastAsia="方正仿宋_GBK"/>
                <w:sz w:val="28"/>
                <w:szCs w:val="28"/>
              </w:rPr>
              <w:t>，</w:t>
            </w:r>
            <w:r>
              <w:rPr>
                <w:rFonts w:ascii="Times New Roman" w:hAnsi="Times New Roman" w:eastAsia="方正仿宋_GBK"/>
                <w:sz w:val="28"/>
                <w:szCs w:val="28"/>
              </w:rPr>
              <w:t>靶向改良砂姜黑土、酸化土壤、潜育化耕地</w:t>
            </w:r>
            <w:r>
              <w:rPr>
                <w:rFonts w:hint="eastAsia" w:ascii="Times New Roman" w:hAnsi="Times New Roman" w:eastAsia="方正仿宋_GBK"/>
                <w:sz w:val="28"/>
                <w:szCs w:val="28"/>
              </w:rPr>
              <w:t>，</w:t>
            </w:r>
            <w:r>
              <w:rPr>
                <w:rFonts w:ascii="Times New Roman" w:hAnsi="Times New Roman" w:eastAsia="方正仿宋_GBK"/>
                <w:sz w:val="28"/>
                <w:szCs w:val="28"/>
              </w:rPr>
              <w:t>因地制宜布设农田林网，保留田埂沟塘生态缓冲带</w:t>
            </w:r>
            <w:r>
              <w:rPr>
                <w:rFonts w:hint="eastAsia" w:ascii="Times New Roman" w:hAnsi="Times New Roman" w:eastAsia="方正仿宋_GBK"/>
                <w:sz w:val="28"/>
                <w:szCs w:val="28"/>
              </w:rPr>
              <w:t>。</w:t>
            </w:r>
          </w:p>
        </w:tc>
      </w:tr>
      <w:tr w14:paraId="786A9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634" w:type="pct"/>
            <w:noWrap w:val="0"/>
            <w:tcMar>
              <w:top w:w="120" w:type="dxa"/>
              <w:left w:w="120" w:type="dxa"/>
              <w:bottom w:w="120" w:type="dxa"/>
              <w:right w:w="120" w:type="dxa"/>
            </w:tcMar>
            <w:vAlign w:val="center"/>
          </w:tcPr>
          <w:p w14:paraId="78E3E0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田间道路与设施配套</w:t>
            </w:r>
          </w:p>
        </w:tc>
        <w:tc>
          <w:tcPr>
            <w:tcW w:w="3365" w:type="pct"/>
            <w:noWrap w:val="0"/>
            <w:tcMar>
              <w:top w:w="120" w:type="dxa"/>
              <w:left w:w="120" w:type="dxa"/>
              <w:bottom w:w="120" w:type="dxa"/>
              <w:right w:w="120" w:type="dxa"/>
            </w:tcMar>
            <w:vAlign w:val="center"/>
          </w:tcPr>
          <w:p w14:paraId="145F862E">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升级机耕路、生产路，完善输配电设施，夯实智慧农业硬件基础</w:t>
            </w:r>
            <w:r>
              <w:rPr>
                <w:rFonts w:hint="eastAsia" w:ascii="Times New Roman" w:hAnsi="Times New Roman" w:eastAsia="方正仿宋_GBK"/>
                <w:sz w:val="28"/>
                <w:szCs w:val="28"/>
              </w:rPr>
              <w:t>。</w:t>
            </w:r>
          </w:p>
        </w:tc>
      </w:tr>
    </w:tbl>
    <w:p w14:paraId="7490DC2D">
      <w:pPr>
        <w:keepNext w:val="0"/>
        <w:keepLines w:val="0"/>
        <w:pageBreakBefore w:val="0"/>
        <w:kinsoku/>
        <w:wordWrap/>
        <w:overflowPunct/>
        <w:topLinePunct w:val="0"/>
        <w:autoSpaceDE/>
        <w:autoSpaceDN/>
        <w:bidi w:val="0"/>
        <w:adjustRightInd/>
        <w:snapToGrid/>
        <w:spacing w:line="560" w:lineRule="exact"/>
        <w:ind w:firstLine="641"/>
        <w:textAlignment w:val="auto"/>
        <w:rPr>
          <w:rFonts w:ascii="Times New Roman" w:hAnsi="Times New Roman" w:eastAsia="方正仿宋_GBK"/>
          <w:sz w:val="32"/>
          <w:szCs w:val="32"/>
        </w:rPr>
      </w:pPr>
      <w:r>
        <w:rPr>
          <w:rFonts w:hint="eastAsia" w:ascii="方正楷体_GBK" w:hAnsi="方正楷体_GBK" w:eastAsia="方正楷体_GBK" w:cs="方正楷体_GBK"/>
          <w:sz w:val="32"/>
          <w:szCs w:val="32"/>
          <w:lang w:val="en-US" w:eastAsia="zh-CN"/>
        </w:rPr>
        <w:t>同步推进耕地质量提升。</w:t>
      </w:r>
      <w:r>
        <w:rPr>
          <w:rFonts w:ascii="Times New Roman" w:hAnsi="Times New Roman" w:eastAsia="方正仿宋_GBK"/>
          <w:sz w:val="32"/>
          <w:szCs w:val="32"/>
        </w:rPr>
        <w:t>持续突出耕地质量建设导向，</w:t>
      </w:r>
      <w:r>
        <w:rPr>
          <w:rFonts w:hint="eastAsia" w:ascii="Times New Roman" w:hAnsi="Times New Roman" w:eastAsia="方正仿宋_GBK"/>
          <w:sz w:val="32"/>
          <w:szCs w:val="32"/>
          <w:lang w:val="en-US" w:eastAsia="zh-CN"/>
        </w:rPr>
        <w:t>推进</w:t>
      </w:r>
      <w:r>
        <w:rPr>
          <w:rFonts w:ascii="Times New Roman" w:hAnsi="Times New Roman" w:eastAsia="方正仿宋_GBK"/>
          <w:sz w:val="32"/>
          <w:szCs w:val="32"/>
        </w:rPr>
        <w:t>田间基础设施</w:t>
      </w:r>
      <w:r>
        <w:rPr>
          <w:rFonts w:hint="eastAsia" w:ascii="Times New Roman" w:hAnsi="Times New Roman" w:eastAsia="方正仿宋_GBK"/>
          <w:sz w:val="32"/>
          <w:szCs w:val="32"/>
          <w:lang w:val="en-US" w:eastAsia="zh-CN"/>
        </w:rPr>
        <w:t>与</w:t>
      </w:r>
      <w:r>
        <w:rPr>
          <w:rFonts w:ascii="Times New Roman" w:hAnsi="Times New Roman" w:eastAsia="方正仿宋_GBK"/>
          <w:sz w:val="32"/>
          <w:szCs w:val="32"/>
        </w:rPr>
        <w:t>土壤改良、有机肥还田等地力培育</w:t>
      </w:r>
      <w:r>
        <w:rPr>
          <w:rFonts w:hint="eastAsia" w:ascii="Times New Roman" w:hAnsi="Times New Roman" w:eastAsia="方正仿宋_GBK"/>
          <w:sz w:val="32"/>
          <w:szCs w:val="32"/>
          <w:lang w:val="en-US" w:eastAsia="zh-CN"/>
        </w:rPr>
        <w:t>同步实施</w:t>
      </w:r>
      <w:r>
        <w:rPr>
          <w:rFonts w:ascii="Times New Roman" w:hAnsi="Times New Roman" w:eastAsia="方正仿宋_GBK"/>
          <w:sz w:val="32"/>
          <w:szCs w:val="32"/>
        </w:rPr>
        <w:t>。</w:t>
      </w:r>
      <w:r>
        <w:rPr>
          <w:rFonts w:hint="eastAsia" w:ascii="Times New Roman" w:hAnsi="Times New Roman" w:eastAsia="方正仿宋_GBK"/>
          <w:sz w:val="32"/>
          <w:szCs w:val="32"/>
          <w:lang w:val="en-US" w:eastAsia="zh-CN"/>
        </w:rPr>
        <w:t>立足</w:t>
      </w:r>
      <w:r>
        <w:rPr>
          <w:rFonts w:hint="eastAsia" w:ascii="Times New Roman" w:hAnsi="Times New Roman" w:eastAsia="方正仿宋_GBK"/>
          <w:sz w:val="32"/>
          <w:szCs w:val="32"/>
        </w:rPr>
        <w:t>全省</w:t>
      </w:r>
      <w:r>
        <w:rPr>
          <w:rFonts w:ascii="Times New Roman" w:hAnsi="Times New Roman" w:eastAsia="方正仿宋_GBK"/>
          <w:sz w:val="32"/>
          <w:szCs w:val="32"/>
        </w:rPr>
        <w:t>南北地域差异</w:t>
      </w:r>
      <w:r>
        <w:rPr>
          <w:rFonts w:hint="eastAsia" w:ascii="Times New Roman" w:hAnsi="Times New Roman" w:eastAsia="方正仿宋_GBK"/>
          <w:sz w:val="32"/>
          <w:szCs w:val="32"/>
          <w:lang w:val="en-US" w:eastAsia="zh-CN"/>
        </w:rPr>
        <w:t>分区施策：</w:t>
      </w:r>
      <w:r>
        <w:rPr>
          <w:rFonts w:ascii="Times New Roman" w:hAnsi="Times New Roman" w:eastAsia="方正仿宋_GBK"/>
          <w:sz w:val="32"/>
          <w:szCs w:val="32"/>
        </w:rPr>
        <w:t>皖北重点破解砂姜黑土障碍因素</w:t>
      </w:r>
      <w:r>
        <w:rPr>
          <w:rFonts w:hint="eastAsia" w:ascii="Times New Roman" w:hAnsi="Times New Roman" w:eastAsia="方正仿宋_GBK"/>
          <w:sz w:val="32"/>
          <w:szCs w:val="32"/>
          <w:lang w:eastAsia="zh-CN"/>
        </w:rPr>
        <w:t>，</w:t>
      </w:r>
      <w:r>
        <w:rPr>
          <w:rFonts w:ascii="Times New Roman" w:hAnsi="Times New Roman" w:eastAsia="方正仿宋_GBK"/>
          <w:sz w:val="32"/>
          <w:szCs w:val="32"/>
        </w:rPr>
        <w:t>沿江圩区重点治理土壤潜育化涝渍问题</w:t>
      </w:r>
      <w:r>
        <w:rPr>
          <w:rFonts w:hint="eastAsia" w:ascii="Times New Roman" w:hAnsi="Times New Roman" w:eastAsia="方正仿宋_GBK"/>
          <w:sz w:val="32"/>
          <w:szCs w:val="32"/>
          <w:lang w:eastAsia="zh-CN"/>
        </w:rPr>
        <w:t>，</w:t>
      </w:r>
      <w:r>
        <w:rPr>
          <w:rFonts w:ascii="Times New Roman" w:hAnsi="Times New Roman" w:eastAsia="方正仿宋_GBK"/>
          <w:sz w:val="32"/>
          <w:szCs w:val="32"/>
        </w:rPr>
        <w:t>丘陵山地重点防控坡地水土流失</w:t>
      </w:r>
      <w:r>
        <w:rPr>
          <w:rFonts w:hint="eastAsia" w:ascii="Times New Roman" w:hAnsi="Times New Roman" w:eastAsia="方正仿宋_GBK"/>
          <w:sz w:val="32"/>
          <w:szCs w:val="32"/>
        </w:rPr>
        <w:t>和土壤酸化。</w:t>
      </w:r>
      <w:r>
        <w:rPr>
          <w:rFonts w:ascii="Times New Roman" w:hAnsi="Times New Roman" w:eastAsia="方正仿宋_GBK"/>
          <w:sz w:val="32"/>
          <w:szCs w:val="32"/>
        </w:rPr>
        <w:t>通过工程与生物措施协同发力，稳步提升全省耕地综合产能，夯实江淮粮仓的质量根基。</w:t>
      </w:r>
    </w:p>
    <w:p w14:paraId="046388AC">
      <w:pPr>
        <w:keepNext w:val="0"/>
        <w:keepLines w:val="0"/>
        <w:pageBreakBefore w:val="0"/>
        <w:widowControl/>
        <w:kinsoku/>
        <w:wordWrap/>
        <w:overflowPunct/>
        <w:topLinePunct w:val="0"/>
        <w:autoSpaceDE/>
        <w:autoSpaceDN/>
        <w:bidi w:val="0"/>
        <w:adjustRightInd/>
        <w:snapToGrid/>
        <w:spacing w:line="560" w:lineRule="exact"/>
        <w:jc w:val="left"/>
        <w:textAlignment w:val="auto"/>
        <w:rPr>
          <w:rStyle w:val="9"/>
          <w:rFonts w:hint="eastAsia" w:ascii="方正楷体_GBK" w:hAnsi="方正楷体_GBK" w:eastAsia="方正楷体_GBK" w:cs="方正楷体_GBK"/>
          <w:kern w:val="0"/>
          <w:sz w:val="32"/>
          <w:szCs w:val="32"/>
          <w:lang w:bidi="ar"/>
        </w:rPr>
      </w:pPr>
      <w:r>
        <w:rPr>
          <w:rStyle w:val="9"/>
          <w:rFonts w:hint="eastAsia" w:ascii="方正楷体_GBK" w:hAnsi="方正楷体_GBK" w:eastAsia="方正楷体_GBK" w:cs="方正楷体_GBK"/>
          <w:kern w:val="0"/>
          <w:sz w:val="32"/>
          <w:szCs w:val="32"/>
          <w:lang w:bidi="ar"/>
        </w:rPr>
        <w:t>（三）推进不稳定耕地腾退优化耕地空间格局</w:t>
      </w:r>
    </w:p>
    <w:p w14:paraId="59A6972B">
      <w:pPr>
        <w:keepNext w:val="0"/>
        <w:keepLines w:val="0"/>
        <w:pageBreakBefore w:val="0"/>
        <w:kinsoku/>
        <w:wordWrap/>
        <w:overflowPunct/>
        <w:topLinePunct w:val="0"/>
        <w:autoSpaceDE/>
        <w:autoSpaceDN/>
        <w:bidi w:val="0"/>
        <w:adjustRightInd/>
        <w:snapToGrid/>
        <w:spacing w:line="560" w:lineRule="exact"/>
        <w:ind w:firstLine="641"/>
        <w:textAlignment w:val="auto"/>
        <w:rPr>
          <w:rFonts w:ascii="Times New Roman" w:hAnsi="Times New Roman" w:eastAsia="方正仿宋_GBK"/>
          <w:sz w:val="32"/>
          <w:szCs w:val="32"/>
        </w:rPr>
      </w:pPr>
      <w:r>
        <w:rPr>
          <w:rFonts w:hint="eastAsia" w:ascii="方正楷体_GBK" w:hAnsi="方正楷体_GBK" w:eastAsia="方正楷体_GBK" w:cs="方正楷体_GBK"/>
          <w:sz w:val="32"/>
          <w:szCs w:val="32"/>
          <w:lang w:val="en-US" w:eastAsia="zh-CN"/>
        </w:rPr>
        <w:t>有序推进不稳定耕地腾退。</w:t>
      </w:r>
      <w:r>
        <w:rPr>
          <w:rFonts w:hint="eastAsia" w:ascii="Times New Roman" w:hAnsi="Times New Roman" w:eastAsia="方正仿宋_GBK"/>
          <w:sz w:val="32"/>
          <w:szCs w:val="32"/>
        </w:rPr>
        <w:t>将</w:t>
      </w:r>
      <w:r>
        <w:rPr>
          <w:rFonts w:ascii="Times New Roman" w:hAnsi="Times New Roman" w:eastAsia="方正仿宋_GBK"/>
          <w:sz w:val="32"/>
          <w:szCs w:val="32"/>
        </w:rPr>
        <w:t>难以长期稳定利用耕地</w:t>
      </w:r>
      <w:r>
        <w:rPr>
          <w:rFonts w:hint="eastAsia" w:ascii="Times New Roman" w:hAnsi="Times New Roman" w:eastAsia="方正仿宋_GBK"/>
          <w:sz w:val="32"/>
          <w:szCs w:val="32"/>
        </w:rPr>
        <w:t>逐步</w:t>
      </w:r>
      <w:r>
        <w:rPr>
          <w:rFonts w:ascii="Times New Roman" w:hAnsi="Times New Roman" w:eastAsia="方正仿宋_GBK"/>
          <w:sz w:val="32"/>
          <w:szCs w:val="32"/>
        </w:rPr>
        <w:t>调出耕地保护空间。生态保护红线内</w:t>
      </w:r>
      <w:r>
        <w:rPr>
          <w:rFonts w:hint="eastAsia" w:ascii="Times New Roman" w:hAnsi="Times New Roman" w:eastAsia="方正仿宋_GBK"/>
          <w:sz w:val="32"/>
          <w:szCs w:val="32"/>
          <w:lang w:eastAsia="zh-CN"/>
        </w:rPr>
        <w:t>、</w:t>
      </w:r>
      <w:r>
        <w:rPr>
          <w:rFonts w:ascii="Times New Roman" w:hAnsi="Times New Roman" w:eastAsia="方正仿宋_GBK"/>
          <w:sz w:val="32"/>
          <w:szCs w:val="32"/>
        </w:rPr>
        <w:t>自然保护地核心保护区内耕地按国家政策有序退出</w:t>
      </w:r>
      <w:r>
        <w:rPr>
          <w:rFonts w:hint="eastAsia" w:ascii="Times New Roman" w:hAnsi="Times New Roman" w:eastAsia="方正仿宋_GBK"/>
          <w:sz w:val="32"/>
          <w:szCs w:val="32"/>
        </w:rPr>
        <w:t>，</w:t>
      </w:r>
      <w:r>
        <w:rPr>
          <w:rFonts w:ascii="Times New Roman" w:hAnsi="Times New Roman" w:eastAsia="方正仿宋_GBK"/>
          <w:sz w:val="32"/>
          <w:szCs w:val="32"/>
        </w:rPr>
        <w:t>核心保护区外在不扩大耕地规模前提下允许原住居民有限种植。城镇开发边界内耕地</w:t>
      </w:r>
      <w:r>
        <w:rPr>
          <w:rFonts w:hint="eastAsia" w:ascii="Times New Roman" w:hAnsi="Times New Roman" w:eastAsia="方正仿宋_GBK"/>
          <w:sz w:val="32"/>
          <w:szCs w:val="32"/>
        </w:rPr>
        <w:t>，</w:t>
      </w:r>
      <w:r>
        <w:rPr>
          <w:rFonts w:ascii="Times New Roman" w:hAnsi="Times New Roman" w:eastAsia="方正仿宋_GBK"/>
          <w:sz w:val="32"/>
          <w:szCs w:val="32"/>
        </w:rPr>
        <w:t>永久基本</w:t>
      </w:r>
      <w:r>
        <w:rPr>
          <w:rFonts w:hint="eastAsia" w:ascii="Times New Roman" w:hAnsi="Times New Roman" w:eastAsia="方正仿宋_GBK" w:cs="Times New Roman"/>
          <w:sz w:val="32"/>
          <w:szCs w:val="32"/>
        </w:rPr>
        <w:t>农田原则上采取“开天窗”方</w:t>
      </w:r>
      <w:r>
        <w:rPr>
          <w:rFonts w:hint="eastAsia" w:ascii="Times New Roman" w:hAnsi="Times New Roman" w:eastAsia="方正仿宋_GBK"/>
          <w:sz w:val="32"/>
          <w:szCs w:val="32"/>
        </w:rPr>
        <w:t>式</w:t>
      </w:r>
      <w:r>
        <w:rPr>
          <w:rFonts w:ascii="Times New Roman" w:hAnsi="Times New Roman" w:eastAsia="方正仿宋_GBK"/>
          <w:sz w:val="32"/>
          <w:szCs w:val="32"/>
        </w:rPr>
        <w:t>保留。河湖管理范围内耕地</w:t>
      </w:r>
      <w:r>
        <w:rPr>
          <w:rFonts w:hint="eastAsia" w:ascii="Times New Roman" w:hAnsi="Times New Roman" w:eastAsia="方正仿宋_GBK"/>
          <w:sz w:val="32"/>
          <w:szCs w:val="32"/>
        </w:rPr>
        <w:t>，</w:t>
      </w:r>
      <w:r>
        <w:rPr>
          <w:rFonts w:ascii="Times New Roman" w:hAnsi="Times New Roman" w:eastAsia="方正仿宋_GBK"/>
          <w:sz w:val="32"/>
          <w:szCs w:val="32"/>
        </w:rPr>
        <w:t>有序退出主河槽、高频洪水位以下、水库征地线、平垸行洪双退圩垸</w:t>
      </w:r>
      <w:r>
        <w:rPr>
          <w:rFonts w:hint="eastAsia" w:ascii="Times New Roman" w:hAnsi="Times New Roman" w:eastAsia="方正仿宋_GBK"/>
          <w:sz w:val="32"/>
          <w:szCs w:val="32"/>
          <w:lang w:val="en-US" w:eastAsia="zh-CN"/>
        </w:rPr>
        <w:t>等区域的</w:t>
      </w:r>
      <w:r>
        <w:rPr>
          <w:rFonts w:ascii="Times New Roman" w:hAnsi="Times New Roman" w:eastAsia="方正仿宋_GBK"/>
          <w:sz w:val="32"/>
          <w:szCs w:val="32"/>
        </w:rPr>
        <w:t>不稳定耕地</w:t>
      </w:r>
      <w:r>
        <w:rPr>
          <w:rFonts w:hint="eastAsia" w:ascii="Times New Roman" w:hAnsi="Times New Roman" w:eastAsia="方正仿宋_GBK"/>
          <w:sz w:val="32"/>
          <w:szCs w:val="32"/>
        </w:rPr>
        <w:t>，</w:t>
      </w:r>
      <w:r>
        <w:rPr>
          <w:rFonts w:ascii="Times New Roman" w:hAnsi="Times New Roman" w:eastAsia="方正仿宋_GBK"/>
          <w:sz w:val="32"/>
          <w:szCs w:val="32"/>
        </w:rPr>
        <w:t>保留耕地禁止建设妨碍行洪的围堤、建筑物，严禁</w:t>
      </w:r>
      <w:r>
        <w:rPr>
          <w:rFonts w:hint="eastAsia" w:ascii="Times New Roman" w:hAnsi="Times New Roman" w:eastAsia="方正仿宋_GBK"/>
          <w:sz w:val="32"/>
          <w:szCs w:val="32"/>
        </w:rPr>
        <w:t>沿河、</w:t>
      </w:r>
      <w:r>
        <w:rPr>
          <w:rFonts w:ascii="Times New Roman" w:hAnsi="Times New Roman" w:eastAsia="方正仿宋_GBK"/>
          <w:sz w:val="32"/>
          <w:szCs w:val="32"/>
        </w:rPr>
        <w:t>围湖造地。重要水源地15度以上坡耕地，</w:t>
      </w:r>
      <w:r>
        <w:rPr>
          <w:rFonts w:hint="eastAsia" w:ascii="Times New Roman" w:hAnsi="Times New Roman" w:eastAsia="方正仿宋_GBK"/>
          <w:sz w:val="32"/>
          <w:szCs w:val="32"/>
        </w:rPr>
        <w:t>稳妥有序</w:t>
      </w:r>
      <w:r>
        <w:rPr>
          <w:rFonts w:ascii="Times New Roman" w:hAnsi="Times New Roman" w:eastAsia="方正仿宋_GBK"/>
          <w:sz w:val="32"/>
          <w:szCs w:val="32"/>
        </w:rPr>
        <w:t>实施退耕。</w:t>
      </w:r>
    </w:p>
    <w:p w14:paraId="5FAC93E6">
      <w:pPr>
        <w:keepNext w:val="0"/>
        <w:keepLines w:val="0"/>
        <w:pageBreakBefore w:val="0"/>
        <w:kinsoku/>
        <w:wordWrap/>
        <w:overflowPunct/>
        <w:topLinePunct w:val="0"/>
        <w:autoSpaceDE/>
        <w:autoSpaceDN/>
        <w:bidi w:val="0"/>
        <w:adjustRightInd/>
        <w:snapToGrid/>
        <w:spacing w:line="560" w:lineRule="exact"/>
        <w:ind w:firstLine="641"/>
        <w:textAlignment w:val="auto"/>
        <w:rPr>
          <w:rFonts w:ascii="Times New Roman" w:hAnsi="Times New Roman" w:eastAsia="方正仿宋_GBK"/>
          <w:sz w:val="32"/>
          <w:szCs w:val="32"/>
        </w:rPr>
      </w:pPr>
      <w:r>
        <w:rPr>
          <w:rFonts w:hint="eastAsia" w:ascii="方正楷体_GBK" w:hAnsi="方正楷体_GBK" w:eastAsia="方正楷体_GBK" w:cs="方正楷体_GBK"/>
          <w:sz w:val="32"/>
          <w:szCs w:val="32"/>
          <w:lang w:val="en-US" w:eastAsia="zh-CN"/>
        </w:rPr>
        <w:t>健全不稳定耕地腾退机制。</w:t>
      </w:r>
      <w:r>
        <w:rPr>
          <w:rFonts w:ascii="Times New Roman" w:hAnsi="Times New Roman" w:eastAsia="方正仿宋_GBK"/>
          <w:sz w:val="32"/>
          <w:szCs w:val="32"/>
        </w:rPr>
        <w:t>严格把握腾退边界，禁止随意扩大腾退范围，</w:t>
      </w:r>
      <w:r>
        <w:rPr>
          <w:rFonts w:hint="eastAsia" w:ascii="Times New Roman" w:hAnsi="Times New Roman" w:eastAsia="方正仿宋_GBK"/>
          <w:sz w:val="32"/>
          <w:szCs w:val="32"/>
        </w:rPr>
        <w:t>腾退应与补充耕地落实相衔接，</w:t>
      </w:r>
      <w:r>
        <w:rPr>
          <w:rFonts w:ascii="Times New Roman" w:hAnsi="Times New Roman" w:eastAsia="方正仿宋_GBK"/>
          <w:sz w:val="32"/>
          <w:szCs w:val="32"/>
        </w:rPr>
        <w:t>防止耕地非正常流失。耕地腾退工作坚持审慎论证为先，以地块的</w:t>
      </w:r>
      <w:r>
        <w:rPr>
          <w:rFonts w:hint="eastAsia" w:ascii="Times New Roman" w:hAnsi="Times New Roman" w:eastAsia="方正仿宋_GBK"/>
          <w:sz w:val="32"/>
          <w:szCs w:val="32"/>
        </w:rPr>
        <w:t>地形地貌</w:t>
      </w:r>
      <w:r>
        <w:rPr>
          <w:rFonts w:ascii="Times New Roman" w:hAnsi="Times New Roman" w:eastAsia="方正仿宋_GBK"/>
          <w:sz w:val="32"/>
          <w:szCs w:val="32"/>
        </w:rPr>
        <w:t>条件、</w:t>
      </w:r>
      <w:r>
        <w:rPr>
          <w:rFonts w:hint="eastAsia" w:ascii="Times New Roman" w:hAnsi="Times New Roman" w:eastAsia="方正仿宋_GBK"/>
          <w:sz w:val="32"/>
          <w:szCs w:val="32"/>
        </w:rPr>
        <w:t>规划管控条件、</w:t>
      </w:r>
      <w:r>
        <w:rPr>
          <w:rFonts w:ascii="Times New Roman" w:hAnsi="Times New Roman" w:eastAsia="方正仿宋_GBK"/>
          <w:sz w:val="32"/>
          <w:szCs w:val="32"/>
        </w:rPr>
        <w:t>洪涝风险</w:t>
      </w:r>
      <w:r>
        <w:rPr>
          <w:rFonts w:hint="eastAsia" w:ascii="Times New Roman" w:hAnsi="Times New Roman" w:eastAsia="方正仿宋_GBK"/>
          <w:sz w:val="32"/>
          <w:szCs w:val="32"/>
        </w:rPr>
        <w:t>等因素作为</w:t>
      </w:r>
      <w:r>
        <w:rPr>
          <w:rFonts w:ascii="Times New Roman" w:hAnsi="Times New Roman" w:eastAsia="方正仿宋_GBK"/>
          <w:sz w:val="32"/>
          <w:szCs w:val="32"/>
        </w:rPr>
        <w:t>核心判定依据，逐地块开展现状核查与风险研判，落实县级实地核实、市级复核、省级把关的分级审查机制。</w:t>
      </w:r>
      <w:r>
        <w:rPr>
          <w:rFonts w:hint="eastAsia" w:ascii="Times New Roman" w:hAnsi="Times New Roman" w:eastAsia="方正仿宋_GBK"/>
          <w:sz w:val="32"/>
          <w:szCs w:val="32"/>
          <w:lang w:val="en-US" w:eastAsia="zh-CN"/>
        </w:rPr>
        <w:t>腾退方案应</w:t>
      </w:r>
      <w:r>
        <w:rPr>
          <w:rFonts w:hint="eastAsia" w:ascii="Times New Roman" w:hAnsi="Times New Roman" w:eastAsia="方正仿宋_GBK"/>
          <w:sz w:val="32"/>
          <w:szCs w:val="32"/>
        </w:rPr>
        <w:t>充分</w:t>
      </w:r>
      <w:r>
        <w:rPr>
          <w:rFonts w:ascii="Times New Roman" w:hAnsi="Times New Roman" w:eastAsia="方正仿宋_GBK"/>
          <w:sz w:val="32"/>
          <w:szCs w:val="32"/>
        </w:rPr>
        <w:t>尊重群众意愿，做好政策解释和利益疏导，</w:t>
      </w:r>
      <w:r>
        <w:rPr>
          <w:rFonts w:ascii="Times New Roman" w:hAnsi="Times New Roman" w:eastAsia="方正仿宋_GBK" w:cs="Times New Roman"/>
          <w:i w:val="0"/>
          <w:iCs w:val="0"/>
          <w:caps w:val="0"/>
          <w:color w:val="0F1115"/>
          <w:spacing w:val="0"/>
          <w:sz w:val="32"/>
          <w:szCs w:val="32"/>
          <w:shd w:val="clear" w:color="auto" w:fill="auto"/>
        </w:rPr>
        <w:t>明确补偿安置措施，</w:t>
      </w:r>
      <w:r>
        <w:rPr>
          <w:rFonts w:ascii="Times New Roman" w:hAnsi="Times New Roman" w:eastAsia="方正仿宋_GBK"/>
          <w:sz w:val="32"/>
          <w:szCs w:val="32"/>
        </w:rPr>
        <w:t>分类分步推进，杜绝运动式退出，</w:t>
      </w:r>
      <w:r>
        <w:rPr>
          <w:rFonts w:hint="eastAsia" w:ascii="Times New Roman" w:hAnsi="Times New Roman" w:eastAsia="方正仿宋_GBK"/>
          <w:sz w:val="32"/>
          <w:szCs w:val="32"/>
        </w:rPr>
        <w:t>确保</w:t>
      </w:r>
      <w:r>
        <w:rPr>
          <w:rFonts w:ascii="Times New Roman" w:hAnsi="Times New Roman" w:eastAsia="方正仿宋_GBK"/>
          <w:sz w:val="32"/>
          <w:szCs w:val="32"/>
        </w:rPr>
        <w:t>基层社会平稳运行。</w:t>
      </w:r>
    </w:p>
    <w:p w14:paraId="1313478F">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四、深挖后备资源潜力，拓展占补平衡空间</w:t>
      </w:r>
    </w:p>
    <w:p w14:paraId="7529E669">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Style w:val="9"/>
          <w:rFonts w:hint="eastAsia" w:ascii="方正楷体_GBK" w:hAnsi="方正楷体_GBK" w:eastAsia="方正楷体_GBK" w:cs="方正楷体_GBK"/>
          <w:kern w:val="0"/>
          <w:sz w:val="32"/>
          <w:szCs w:val="32"/>
          <w:lang w:bidi="ar"/>
        </w:rPr>
      </w:pPr>
      <w:r>
        <w:rPr>
          <w:rStyle w:val="9"/>
          <w:rFonts w:hint="eastAsia" w:ascii="方正楷体_GBK" w:hAnsi="方正楷体_GBK" w:eastAsia="方正楷体_GBK" w:cs="方正楷体_GBK"/>
          <w:kern w:val="0"/>
          <w:sz w:val="32"/>
          <w:szCs w:val="32"/>
          <w:lang w:bidi="ar"/>
        </w:rPr>
        <w:t>（</w:t>
      </w:r>
      <w:r>
        <w:rPr>
          <w:rStyle w:val="9"/>
          <w:rFonts w:hint="eastAsia" w:ascii="方正楷体_GBK" w:hAnsi="方正楷体_GBK" w:eastAsia="方正楷体_GBK" w:cs="方正楷体_GBK"/>
          <w:kern w:val="0"/>
          <w:sz w:val="32"/>
          <w:szCs w:val="32"/>
          <w:lang w:val="en-US" w:eastAsia="zh-CN" w:bidi="ar"/>
        </w:rPr>
        <w:t>四</w:t>
      </w:r>
      <w:r>
        <w:rPr>
          <w:rStyle w:val="9"/>
          <w:rFonts w:hint="eastAsia" w:ascii="方正楷体_GBK" w:hAnsi="方正楷体_GBK" w:eastAsia="方正楷体_GBK" w:cs="方正楷体_GBK"/>
          <w:kern w:val="0"/>
          <w:sz w:val="32"/>
          <w:szCs w:val="32"/>
          <w:lang w:bidi="ar"/>
        </w:rPr>
        <w:t>）摸排后备资源潜力夯实耕地补充根基</w:t>
      </w:r>
    </w:p>
    <w:p w14:paraId="6EF3A08B">
      <w:pPr>
        <w:keepNext w:val="0"/>
        <w:keepLines w:val="0"/>
        <w:pageBreakBefore w:val="0"/>
        <w:kinsoku/>
        <w:wordWrap/>
        <w:overflowPunct/>
        <w:topLinePunct w:val="0"/>
        <w:autoSpaceDE/>
        <w:autoSpaceDN/>
        <w:bidi w:val="0"/>
        <w:adjustRightInd/>
        <w:snapToGrid/>
        <w:spacing w:line="560" w:lineRule="exact"/>
        <w:ind w:firstLine="641"/>
        <w:textAlignment w:val="auto"/>
        <w:rPr>
          <w:rFonts w:ascii="Times New Roman" w:hAnsi="Times New Roman" w:eastAsia="方正仿宋_GBK"/>
          <w:sz w:val="32"/>
          <w:szCs w:val="32"/>
        </w:rPr>
      </w:pPr>
      <w:r>
        <w:rPr>
          <w:rFonts w:hint="eastAsia" w:ascii="方正楷体_GBK" w:hAnsi="方正楷体_GBK" w:eastAsia="方正楷体_GBK" w:cs="方正楷体_GBK"/>
          <w:sz w:val="32"/>
          <w:szCs w:val="32"/>
          <w:lang w:val="en-US" w:eastAsia="zh-CN"/>
        </w:rPr>
        <w:t>因地制宜科学确定耕地补充空间。</w:t>
      </w:r>
      <w:r>
        <w:rPr>
          <w:rFonts w:ascii="Times New Roman" w:hAnsi="Times New Roman" w:eastAsia="方正仿宋_GBK"/>
          <w:sz w:val="32"/>
          <w:szCs w:val="32"/>
        </w:rPr>
        <w:t>优先</w:t>
      </w:r>
      <w:r>
        <w:rPr>
          <w:rFonts w:hint="eastAsia" w:ascii="Times New Roman" w:hAnsi="Times New Roman" w:eastAsia="方正仿宋_GBK"/>
          <w:sz w:val="32"/>
          <w:szCs w:val="32"/>
        </w:rPr>
        <w:t>将</w:t>
      </w:r>
      <w:r>
        <w:rPr>
          <w:rFonts w:ascii="Times New Roman" w:hAnsi="Times New Roman" w:eastAsia="方正仿宋_GBK"/>
          <w:sz w:val="32"/>
          <w:szCs w:val="32"/>
        </w:rPr>
        <w:t>水土条件适宜的其他农用地、宜耕未利用地、可复垦建设用地划入耕地补充空间</w:t>
      </w:r>
      <w:r>
        <w:rPr>
          <w:rFonts w:hint="eastAsia" w:ascii="Times New Roman" w:hAnsi="Times New Roman" w:eastAsia="方正仿宋_GBK"/>
          <w:sz w:val="32"/>
          <w:szCs w:val="32"/>
        </w:rPr>
        <w:t>，</w:t>
      </w:r>
      <w:r>
        <w:rPr>
          <w:rFonts w:ascii="Times New Roman" w:hAnsi="Times New Roman" w:eastAsia="方正仿宋_GBK"/>
          <w:sz w:val="32"/>
          <w:szCs w:val="32"/>
        </w:rPr>
        <w:t>自然保护地、生态保护红线、25°以上陡坡、重要水源地15°以上坡地、湿地河湖范围、重点林区、国有林场等区域不得划入耕地补充空间。压实各级主体责任</w:t>
      </w:r>
      <w:r>
        <w:rPr>
          <w:rFonts w:hint="eastAsia" w:ascii="Times New Roman" w:hAnsi="Times New Roman" w:eastAsia="方正仿宋_GBK"/>
          <w:sz w:val="32"/>
          <w:szCs w:val="32"/>
        </w:rPr>
        <w:t>，</w:t>
      </w:r>
      <w:r>
        <w:rPr>
          <w:rFonts w:ascii="Times New Roman" w:hAnsi="Times New Roman" w:eastAsia="方正仿宋_GBK"/>
          <w:sz w:val="32"/>
          <w:szCs w:val="32"/>
        </w:rPr>
        <w:t>坚持底线约束，严格管控补充耕地来源，</w:t>
      </w:r>
      <w:r>
        <w:rPr>
          <w:rFonts w:hint="default" w:ascii="Times New Roman" w:hAnsi="Times New Roman" w:eastAsia="方正仿宋_GBK"/>
          <w:sz w:val="32"/>
          <w:szCs w:val="32"/>
          <w:lang w:val="en-US"/>
        </w:rPr>
        <w:t>坚决杜绝</w:t>
      </w:r>
      <w:r>
        <w:rPr>
          <w:rFonts w:ascii="Times New Roman" w:hAnsi="Times New Roman" w:eastAsia="方正仿宋_GBK"/>
          <w:sz w:val="32"/>
          <w:szCs w:val="32"/>
        </w:rPr>
        <w:t>将生态价值高的林地盲目转为补充耕地，防范生态破坏风险。统筹划定</w:t>
      </w:r>
      <w:r>
        <w:rPr>
          <w:rFonts w:hint="eastAsia" w:ascii="Times New Roman" w:hAnsi="Times New Roman" w:eastAsia="方正仿宋_GBK"/>
          <w:sz w:val="32"/>
          <w:szCs w:val="32"/>
        </w:rPr>
        <w:t>812.02</w:t>
      </w:r>
      <w:r>
        <w:rPr>
          <w:rFonts w:ascii="Times New Roman" w:hAnsi="Times New Roman" w:eastAsia="方正仿宋_GBK"/>
          <w:sz w:val="32"/>
          <w:szCs w:val="32"/>
        </w:rPr>
        <w:t>万亩耕地补充空间，强化跨县域补充耕地指标监管。</w:t>
      </w:r>
    </w:p>
    <w:p w14:paraId="198523B8">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Style w:val="9"/>
          <w:rFonts w:hint="eastAsia" w:ascii="方正楷体_GBK" w:hAnsi="方正楷体_GBK" w:eastAsia="方正楷体_GBK" w:cs="方正楷体_GBK"/>
          <w:kern w:val="0"/>
          <w:sz w:val="32"/>
          <w:szCs w:val="32"/>
          <w:lang w:bidi="ar"/>
        </w:rPr>
      </w:pPr>
      <w:r>
        <w:rPr>
          <w:rStyle w:val="9"/>
          <w:rFonts w:hint="eastAsia" w:ascii="方正楷体_GBK" w:hAnsi="方正楷体_GBK" w:eastAsia="方正楷体_GBK" w:cs="方正楷体_GBK"/>
          <w:kern w:val="0"/>
          <w:sz w:val="32"/>
          <w:szCs w:val="32"/>
          <w:lang w:bidi="ar"/>
        </w:rPr>
        <w:t>（</w:t>
      </w:r>
      <w:r>
        <w:rPr>
          <w:rStyle w:val="9"/>
          <w:rFonts w:hint="eastAsia" w:ascii="方正楷体_GBK" w:hAnsi="方正楷体_GBK" w:eastAsia="方正楷体_GBK" w:cs="方正楷体_GBK"/>
          <w:kern w:val="0"/>
          <w:sz w:val="32"/>
          <w:szCs w:val="32"/>
          <w:lang w:val="en-US" w:eastAsia="zh-CN" w:bidi="ar"/>
        </w:rPr>
        <w:t>五</w:t>
      </w:r>
      <w:r>
        <w:rPr>
          <w:rStyle w:val="9"/>
          <w:rFonts w:hint="eastAsia" w:ascii="方正楷体_GBK" w:hAnsi="方正楷体_GBK" w:eastAsia="方正楷体_GBK" w:cs="方正楷体_GBK"/>
          <w:kern w:val="0"/>
          <w:sz w:val="32"/>
          <w:szCs w:val="32"/>
          <w:lang w:bidi="ar"/>
        </w:rPr>
        <w:t>）规范补充空间利用保障占补平衡落地</w:t>
      </w:r>
    </w:p>
    <w:p w14:paraId="1410AE30">
      <w:pPr>
        <w:keepNext w:val="0"/>
        <w:keepLines w:val="0"/>
        <w:pageBreakBefore w:val="0"/>
        <w:kinsoku/>
        <w:wordWrap/>
        <w:overflowPunct/>
        <w:topLinePunct w:val="0"/>
        <w:autoSpaceDE/>
        <w:autoSpaceDN/>
        <w:bidi w:val="0"/>
        <w:adjustRightInd/>
        <w:snapToGrid/>
        <w:spacing w:line="560" w:lineRule="exact"/>
        <w:ind w:firstLine="641"/>
        <w:textAlignment w:val="auto"/>
        <w:rPr>
          <w:rFonts w:ascii="Times New Roman" w:hAnsi="Times New Roman" w:eastAsia="方正仿宋_GBK"/>
          <w:sz w:val="32"/>
          <w:szCs w:val="32"/>
        </w:rPr>
      </w:pPr>
      <w:r>
        <w:rPr>
          <w:rFonts w:hint="eastAsia" w:ascii="方正楷体_GBK" w:hAnsi="方正楷体_GBK" w:eastAsia="方正楷体_GBK" w:cs="方正楷体_GBK"/>
          <w:sz w:val="32"/>
          <w:szCs w:val="32"/>
          <w:lang w:val="en-US" w:eastAsia="zh-CN"/>
        </w:rPr>
        <w:t>完善“以补定占”机制。</w:t>
      </w:r>
      <w:r>
        <w:rPr>
          <w:rFonts w:ascii="Times New Roman" w:hAnsi="Times New Roman" w:eastAsia="方正仿宋_GBK"/>
          <w:sz w:val="32"/>
          <w:szCs w:val="32"/>
        </w:rPr>
        <w:t>落实</w:t>
      </w:r>
      <w:r>
        <w:rPr>
          <w:rFonts w:hint="eastAsia" w:ascii="Times New Roman" w:hAnsi="Times New Roman" w:eastAsia="方正仿宋_GBK"/>
          <w:sz w:val="32"/>
          <w:szCs w:val="32"/>
        </w:rPr>
        <w:t>“</w:t>
      </w:r>
      <w:r>
        <w:rPr>
          <w:rFonts w:ascii="Times New Roman" w:hAnsi="Times New Roman" w:eastAsia="方正仿宋_GBK"/>
          <w:sz w:val="32"/>
          <w:szCs w:val="32"/>
        </w:rPr>
        <w:t>以补定占、补优于占</w:t>
      </w:r>
      <w:r>
        <w:rPr>
          <w:rFonts w:hint="eastAsia" w:ascii="Times New Roman" w:hAnsi="Times New Roman" w:eastAsia="方正仿宋_GBK"/>
          <w:sz w:val="32"/>
          <w:szCs w:val="32"/>
        </w:rPr>
        <w:t>”</w:t>
      </w:r>
      <w:r>
        <w:rPr>
          <w:rFonts w:ascii="Times New Roman" w:hAnsi="Times New Roman" w:eastAsia="方正仿宋_GBK"/>
          <w:sz w:val="32"/>
          <w:szCs w:val="32"/>
        </w:rPr>
        <w:t>，市域稳定利用耕地净增加量作为下一年度非农建设占用耕地规模上限，新入库补充耕地质量等级不低于上</w:t>
      </w:r>
      <w:r>
        <w:rPr>
          <w:rFonts w:hint="eastAsia" w:ascii="Times New Roman" w:hAnsi="Times New Roman" w:eastAsia="方正仿宋_GBK"/>
          <w:sz w:val="32"/>
          <w:szCs w:val="32"/>
        </w:rPr>
        <w:t>一</w:t>
      </w:r>
      <w:r>
        <w:rPr>
          <w:rFonts w:ascii="Times New Roman" w:hAnsi="Times New Roman" w:eastAsia="方正仿宋_GBK"/>
          <w:sz w:val="32"/>
          <w:szCs w:val="32"/>
        </w:rPr>
        <w:t>年度被占用耕地平均</w:t>
      </w:r>
      <w:r>
        <w:rPr>
          <w:rFonts w:hint="eastAsia" w:ascii="Times New Roman" w:hAnsi="Times New Roman" w:eastAsia="方正仿宋_GBK"/>
          <w:sz w:val="32"/>
          <w:szCs w:val="32"/>
        </w:rPr>
        <w:t>质量</w:t>
      </w:r>
      <w:r>
        <w:rPr>
          <w:rFonts w:ascii="Times New Roman" w:hAnsi="Times New Roman" w:eastAsia="方正仿宋_GBK"/>
          <w:sz w:val="32"/>
          <w:szCs w:val="32"/>
        </w:rPr>
        <w:t>等级。结合非农建设占用、耕地流出情况统筹补充耕地任务。</w:t>
      </w:r>
      <w:r>
        <w:rPr>
          <w:rFonts w:hint="eastAsia" w:ascii="Times New Roman" w:hAnsi="Times New Roman" w:eastAsia="方正仿宋_GBK"/>
          <w:sz w:val="32"/>
          <w:szCs w:val="32"/>
        </w:rPr>
        <w:t>县级</w:t>
      </w:r>
      <w:r>
        <w:rPr>
          <w:rFonts w:ascii="Times New Roman" w:hAnsi="Times New Roman" w:eastAsia="方正仿宋_GBK"/>
          <w:sz w:val="32"/>
          <w:szCs w:val="32"/>
        </w:rPr>
        <w:t>编制年度实施方案，坚持以恢复优质耕地为主、新开垦耕地为辅，优先恢复平原、低坡度区域流出的园地、林地、草地。联动</w:t>
      </w:r>
      <w:r>
        <w:rPr>
          <w:rFonts w:hint="eastAsia" w:ascii="Times New Roman" w:hAnsi="Times New Roman" w:eastAsia="方正仿宋_GBK"/>
          <w:sz w:val="32"/>
          <w:szCs w:val="32"/>
        </w:rPr>
        <w:t>统筹</w:t>
      </w:r>
      <w:r>
        <w:rPr>
          <w:rFonts w:ascii="Times New Roman" w:hAnsi="Times New Roman" w:eastAsia="方正仿宋_GBK"/>
          <w:sz w:val="32"/>
          <w:szCs w:val="32"/>
        </w:rPr>
        <w:t>全域土地综合整治、耕地</w:t>
      </w:r>
      <w:r>
        <w:rPr>
          <w:rFonts w:hint="eastAsia" w:ascii="Times New Roman" w:hAnsi="Times New Roman" w:eastAsia="方正仿宋_GBK"/>
          <w:sz w:val="32"/>
          <w:szCs w:val="32"/>
        </w:rPr>
        <w:t>“</w:t>
      </w:r>
      <w:r>
        <w:rPr>
          <w:rFonts w:ascii="Times New Roman" w:hAnsi="Times New Roman" w:eastAsia="方正仿宋_GBK"/>
          <w:sz w:val="32"/>
          <w:szCs w:val="32"/>
        </w:rPr>
        <w:t>山上换山下</w:t>
      </w:r>
      <w:r>
        <w:rPr>
          <w:rFonts w:hint="eastAsia" w:ascii="Times New Roman" w:hAnsi="Times New Roman" w:eastAsia="方正仿宋_GBK"/>
          <w:sz w:val="32"/>
          <w:szCs w:val="32"/>
        </w:rPr>
        <w:t>”</w:t>
      </w:r>
      <w:r>
        <w:rPr>
          <w:rFonts w:ascii="Times New Roman" w:hAnsi="Times New Roman" w:eastAsia="方正仿宋_GBK"/>
          <w:sz w:val="32"/>
          <w:szCs w:val="32"/>
        </w:rPr>
        <w:t>、矿山</w:t>
      </w:r>
      <w:r>
        <w:rPr>
          <w:rFonts w:hint="eastAsia" w:ascii="Times New Roman" w:hAnsi="Times New Roman" w:eastAsia="方正仿宋_GBK"/>
          <w:sz w:val="32"/>
          <w:szCs w:val="32"/>
        </w:rPr>
        <w:t>生态</w:t>
      </w:r>
      <w:r>
        <w:rPr>
          <w:rFonts w:ascii="Times New Roman" w:hAnsi="Times New Roman" w:eastAsia="方正仿宋_GBK"/>
          <w:sz w:val="32"/>
          <w:szCs w:val="32"/>
        </w:rPr>
        <w:t>修复、城乡建设用地增减挂钩</w:t>
      </w:r>
      <w:r>
        <w:rPr>
          <w:rFonts w:hint="eastAsia" w:ascii="Times New Roman" w:hAnsi="Times New Roman" w:eastAsia="方正仿宋_GBK"/>
          <w:sz w:val="32"/>
          <w:szCs w:val="32"/>
        </w:rPr>
        <w:t>等</w:t>
      </w:r>
      <w:r>
        <w:rPr>
          <w:rFonts w:ascii="Times New Roman" w:hAnsi="Times New Roman" w:eastAsia="方正仿宋_GBK"/>
          <w:sz w:val="32"/>
          <w:szCs w:val="32"/>
        </w:rPr>
        <w:t>项目，分年度落地实施</w:t>
      </w:r>
      <w:r>
        <w:rPr>
          <w:rFonts w:hint="eastAsia" w:ascii="Times New Roman" w:hAnsi="Times New Roman" w:eastAsia="方正仿宋_GBK"/>
          <w:sz w:val="32"/>
          <w:szCs w:val="32"/>
        </w:rPr>
        <w:t>，有效增加补充耕地</w:t>
      </w:r>
      <w:r>
        <w:rPr>
          <w:rFonts w:ascii="Times New Roman" w:hAnsi="Times New Roman" w:eastAsia="方正仿宋_GBK"/>
          <w:sz w:val="32"/>
          <w:szCs w:val="32"/>
        </w:rPr>
        <w:t>。未利用地开发坚持生态优先、以水定地，限定在全国耕地后备资源调查宜耕范围之内实施。</w:t>
      </w:r>
    </w:p>
    <w:p w14:paraId="24B860C0">
      <w:pPr>
        <w:keepNext w:val="0"/>
        <w:keepLines w:val="0"/>
        <w:pageBreakBefore w:val="0"/>
        <w:kinsoku/>
        <w:wordWrap/>
        <w:overflowPunct/>
        <w:topLinePunct w:val="0"/>
        <w:autoSpaceDE/>
        <w:autoSpaceDN/>
        <w:bidi w:val="0"/>
        <w:adjustRightInd/>
        <w:snapToGrid/>
        <w:spacing w:line="560" w:lineRule="exact"/>
        <w:ind w:firstLine="641"/>
        <w:textAlignment w:val="auto"/>
      </w:pPr>
      <w:r>
        <w:rPr>
          <w:rFonts w:hint="eastAsia" w:ascii="方正楷体_GBK" w:hAnsi="方正楷体_GBK" w:eastAsia="方正楷体_GBK" w:cs="方正楷体_GBK"/>
          <w:sz w:val="32"/>
          <w:szCs w:val="32"/>
          <w:lang w:val="en-US" w:eastAsia="zh-CN"/>
        </w:rPr>
        <w:t>严格补充耕地验收与后期管护。</w:t>
      </w:r>
      <w:r>
        <w:rPr>
          <w:rFonts w:ascii="Times New Roman" w:hAnsi="Times New Roman" w:eastAsia="方正仿宋_GBK"/>
          <w:sz w:val="32"/>
          <w:szCs w:val="32"/>
        </w:rPr>
        <w:t>强化补充耕地入库全流程监管，</w:t>
      </w:r>
      <w:r>
        <w:rPr>
          <w:rFonts w:hint="eastAsia" w:ascii="Times New Roman" w:hAnsi="Times New Roman" w:eastAsia="方正仿宋_GBK"/>
          <w:sz w:val="32"/>
          <w:szCs w:val="32"/>
        </w:rPr>
        <w:t>确保在库每一亩补充耕地实至名归。</w:t>
      </w:r>
      <w:r>
        <w:rPr>
          <w:rFonts w:ascii="Times New Roman" w:hAnsi="Times New Roman" w:eastAsia="方正仿宋_GBK"/>
          <w:sz w:val="32"/>
          <w:szCs w:val="32"/>
        </w:rPr>
        <w:t>补齐后期管护短板，压实项目属地县、乡镇以及村集体经济组织管护责任，明晰管护职责，落实管护经费，建立新增耕地核查机制，及时处置撂荒、违规改种等问题，</w:t>
      </w:r>
      <w:r>
        <w:rPr>
          <w:rFonts w:hint="eastAsia" w:ascii="Times New Roman" w:hAnsi="Times New Roman" w:eastAsia="方正仿宋_GBK"/>
          <w:sz w:val="32"/>
          <w:szCs w:val="32"/>
        </w:rPr>
        <w:t>确保</w:t>
      </w:r>
      <w:r>
        <w:rPr>
          <w:rFonts w:ascii="Times New Roman" w:hAnsi="Times New Roman" w:eastAsia="方正仿宋_GBK"/>
          <w:sz w:val="32"/>
          <w:szCs w:val="32"/>
        </w:rPr>
        <w:t>补充耕地长期稳定耕种，真正实现</w:t>
      </w:r>
      <w:r>
        <w:rPr>
          <w:rFonts w:hint="eastAsia" w:ascii="Times New Roman" w:hAnsi="Times New Roman" w:eastAsia="方正仿宋_GBK"/>
          <w:sz w:val="32"/>
          <w:szCs w:val="32"/>
        </w:rPr>
        <w:t>“</w:t>
      </w:r>
      <w:r>
        <w:rPr>
          <w:rFonts w:ascii="Times New Roman" w:hAnsi="Times New Roman" w:eastAsia="方正仿宋_GBK"/>
          <w:sz w:val="32"/>
          <w:szCs w:val="32"/>
        </w:rPr>
        <w:t>补得进、守得住</w:t>
      </w:r>
      <w:r>
        <w:rPr>
          <w:rFonts w:hint="eastAsia" w:ascii="Times New Roman" w:hAnsi="Times New Roman" w:eastAsia="方正仿宋_GBK"/>
          <w:sz w:val="32"/>
          <w:szCs w:val="32"/>
        </w:rPr>
        <w:t>”</w:t>
      </w:r>
      <w:r>
        <w:rPr>
          <w:rFonts w:ascii="Times New Roman" w:hAnsi="Times New Roman" w:eastAsia="方正仿宋_GBK"/>
          <w:sz w:val="32"/>
          <w:szCs w:val="32"/>
        </w:rPr>
        <w:t>。</w:t>
      </w:r>
    </w:p>
    <w:p w14:paraId="625D2211">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Style w:val="9"/>
          <w:rFonts w:hint="eastAsia" w:ascii="方正楷体_GBK" w:hAnsi="方正楷体_GBK" w:eastAsia="方正楷体_GBK" w:cs="方正楷体_GBK"/>
          <w:kern w:val="0"/>
          <w:sz w:val="32"/>
          <w:szCs w:val="32"/>
          <w:lang w:bidi="ar"/>
        </w:rPr>
      </w:pPr>
      <w:r>
        <w:rPr>
          <w:rStyle w:val="9"/>
          <w:rFonts w:hint="eastAsia" w:ascii="方正楷体_GBK" w:hAnsi="方正楷体_GBK" w:eastAsia="方正楷体_GBK" w:cs="方正楷体_GBK"/>
          <w:kern w:val="0"/>
          <w:sz w:val="32"/>
          <w:szCs w:val="32"/>
          <w:lang w:bidi="ar"/>
        </w:rPr>
        <w:t>（</w:t>
      </w:r>
      <w:r>
        <w:rPr>
          <w:rStyle w:val="9"/>
          <w:rFonts w:hint="eastAsia" w:ascii="方正楷体_GBK" w:hAnsi="方正楷体_GBK" w:eastAsia="方正楷体_GBK" w:cs="方正楷体_GBK"/>
          <w:kern w:val="0"/>
          <w:sz w:val="32"/>
          <w:szCs w:val="32"/>
          <w:lang w:val="en-US" w:eastAsia="zh-CN" w:bidi="ar"/>
        </w:rPr>
        <w:t>六</w:t>
      </w:r>
      <w:r>
        <w:rPr>
          <w:rStyle w:val="9"/>
          <w:rFonts w:hint="eastAsia" w:ascii="方正楷体_GBK" w:hAnsi="方正楷体_GBK" w:eastAsia="方正楷体_GBK" w:cs="方正楷体_GBK"/>
          <w:kern w:val="0"/>
          <w:sz w:val="32"/>
          <w:szCs w:val="32"/>
          <w:lang w:bidi="ar"/>
        </w:rPr>
        <w:t>）开展耕地提质改造提升耕地质量水平</w:t>
      </w:r>
    </w:p>
    <w:p w14:paraId="2D4C6CD8">
      <w:pPr>
        <w:keepNext w:val="0"/>
        <w:keepLines w:val="0"/>
        <w:pageBreakBefore w:val="0"/>
        <w:kinsoku/>
        <w:wordWrap/>
        <w:overflowPunct/>
        <w:topLinePunct w:val="0"/>
        <w:autoSpaceDE/>
        <w:autoSpaceDN/>
        <w:bidi w:val="0"/>
        <w:adjustRightInd/>
        <w:snapToGrid/>
        <w:spacing w:line="560" w:lineRule="exact"/>
        <w:ind w:firstLine="641"/>
        <w:textAlignment w:val="auto"/>
        <w:rPr>
          <w:rFonts w:ascii="Times New Roman" w:hAnsi="Times New Roman" w:eastAsia="方正仿宋_GBK"/>
          <w:sz w:val="32"/>
          <w:szCs w:val="32"/>
        </w:rPr>
      </w:pPr>
      <w:r>
        <w:rPr>
          <w:rFonts w:hint="eastAsia" w:ascii="方正楷体_GBK" w:hAnsi="方正楷体_GBK" w:eastAsia="方正楷体_GBK" w:cs="方正楷体_GBK"/>
          <w:sz w:val="32"/>
          <w:szCs w:val="32"/>
          <w:lang w:val="en-US" w:eastAsia="zh-CN"/>
        </w:rPr>
        <w:t>分步实施耕地提质改造。</w:t>
      </w:r>
      <w:r>
        <w:rPr>
          <w:rFonts w:ascii="Times New Roman" w:hAnsi="Times New Roman" w:eastAsia="方正仿宋_GBK"/>
          <w:sz w:val="32"/>
          <w:szCs w:val="32"/>
        </w:rPr>
        <w:t>坚持问题导向，聚焦耕地碎片化、地力衰退等问题，</w:t>
      </w:r>
      <w:r>
        <w:rPr>
          <w:rFonts w:hint="eastAsia" w:ascii="Times New Roman" w:hAnsi="Times New Roman" w:eastAsia="方正仿宋_GBK"/>
          <w:sz w:val="32"/>
          <w:szCs w:val="32"/>
        </w:rPr>
        <w:t>分步</w:t>
      </w:r>
      <w:r>
        <w:rPr>
          <w:rFonts w:ascii="Times New Roman" w:hAnsi="Times New Roman" w:eastAsia="方正仿宋_GBK"/>
          <w:sz w:val="32"/>
          <w:szCs w:val="32"/>
        </w:rPr>
        <w:t>实施耕地提质改造，优先在耕地保护空间内布局提质改造项目，同步统筹耕地质量提升与生态保护，不片面追求新增耕地</w:t>
      </w:r>
      <w:r>
        <w:rPr>
          <w:rFonts w:hint="eastAsia" w:ascii="Times New Roman" w:hAnsi="Times New Roman" w:eastAsia="方正仿宋_GBK"/>
          <w:sz w:val="32"/>
          <w:szCs w:val="32"/>
        </w:rPr>
        <w:t>数量</w:t>
      </w:r>
      <w:r>
        <w:rPr>
          <w:rFonts w:ascii="Times New Roman" w:hAnsi="Times New Roman" w:eastAsia="方正仿宋_GBK"/>
          <w:sz w:val="32"/>
          <w:szCs w:val="32"/>
        </w:rPr>
        <w:t>，因地制宜分类施策。</w:t>
      </w:r>
    </w:p>
    <w:p w14:paraId="2FF1854D">
      <w:pPr>
        <w:keepNext w:val="0"/>
        <w:keepLines w:val="0"/>
        <w:pageBreakBefore w:val="0"/>
        <w:kinsoku/>
        <w:wordWrap/>
        <w:overflowPunct/>
        <w:topLinePunct w:val="0"/>
        <w:autoSpaceDE/>
        <w:autoSpaceDN/>
        <w:bidi w:val="0"/>
        <w:adjustRightInd/>
        <w:snapToGrid/>
        <w:spacing w:line="560" w:lineRule="exact"/>
        <w:ind w:firstLine="641"/>
        <w:textAlignment w:val="auto"/>
        <w:rPr>
          <w:rFonts w:ascii="Times New Roman" w:hAnsi="Times New Roman" w:eastAsia="方正仿宋_GBK"/>
          <w:sz w:val="32"/>
          <w:szCs w:val="32"/>
        </w:rPr>
      </w:pPr>
      <w:r>
        <w:rPr>
          <w:rFonts w:hint="eastAsia" w:ascii="方正楷体_GBK" w:hAnsi="方正楷体_GBK" w:eastAsia="方正楷体_GBK" w:cs="方正楷体_GBK"/>
          <w:sz w:val="32"/>
          <w:szCs w:val="32"/>
          <w:lang w:val="en-US" w:eastAsia="zh-CN"/>
        </w:rPr>
        <w:t>精准改造存量耕地。</w:t>
      </w:r>
      <w:r>
        <w:rPr>
          <w:rFonts w:ascii="Times New Roman" w:hAnsi="Times New Roman" w:eastAsia="方正仿宋_GBK"/>
          <w:sz w:val="32"/>
          <w:szCs w:val="32"/>
        </w:rPr>
        <w:t>提质改造重在盘活存量耕地资源，</w:t>
      </w:r>
      <w:r>
        <w:rPr>
          <w:rFonts w:hint="eastAsia" w:ascii="Times New Roman" w:hAnsi="Times New Roman" w:eastAsia="方正仿宋_GBK"/>
          <w:sz w:val="32"/>
          <w:szCs w:val="32"/>
        </w:rPr>
        <w:t>以</w:t>
      </w:r>
      <w:r>
        <w:rPr>
          <w:rFonts w:ascii="Times New Roman" w:hAnsi="Times New Roman" w:eastAsia="方正仿宋_GBK"/>
          <w:sz w:val="32"/>
          <w:szCs w:val="32"/>
        </w:rPr>
        <w:t>提升现有耕地连片程度、土壤肥力作为主攻方向。针对省内大量零散插花地块，依托土地整治逐步归并整合，减少地类交错碎片化</w:t>
      </w:r>
      <w:r>
        <w:rPr>
          <w:rFonts w:hint="eastAsia" w:ascii="Times New Roman" w:hAnsi="Times New Roman" w:eastAsia="方正仿宋_GBK"/>
          <w:sz w:val="32"/>
          <w:szCs w:val="32"/>
        </w:rPr>
        <w:t>问题</w:t>
      </w:r>
      <w:r>
        <w:rPr>
          <w:rFonts w:ascii="Times New Roman" w:hAnsi="Times New Roman" w:eastAsia="方正仿宋_GBK"/>
          <w:sz w:val="32"/>
          <w:szCs w:val="32"/>
        </w:rPr>
        <w:t>；结合农业部门地力监测成果，精准实施</w:t>
      </w:r>
      <w:r>
        <w:rPr>
          <w:rFonts w:hint="eastAsia" w:ascii="Times New Roman" w:hAnsi="Times New Roman" w:eastAsia="方正仿宋_GBK"/>
          <w:sz w:val="32"/>
          <w:szCs w:val="32"/>
        </w:rPr>
        <w:t>土壤</w:t>
      </w:r>
      <w:r>
        <w:rPr>
          <w:rFonts w:ascii="Times New Roman" w:hAnsi="Times New Roman" w:eastAsia="方正仿宋_GBK"/>
          <w:sz w:val="32"/>
          <w:szCs w:val="32"/>
        </w:rPr>
        <w:t>培肥改良。合理保留田间沟塘、小型林带等生态小微斑块，不搞过度平整，兼顾农田生态缓冲功能，构建稳产与生态兼容的农田系统。</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793"/>
        <w:gridCol w:w="5753"/>
      </w:tblGrid>
      <w:tr w14:paraId="55CBD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5000" w:type="pct"/>
            <w:gridSpan w:val="2"/>
            <w:noWrap w:val="0"/>
            <w:tcMar>
              <w:top w:w="120" w:type="dxa"/>
              <w:left w:w="120" w:type="dxa"/>
              <w:bottom w:w="120" w:type="dxa"/>
              <w:right w:w="120" w:type="dxa"/>
            </w:tcMar>
            <w:vAlign w:val="center"/>
          </w:tcPr>
          <w:p w14:paraId="5CF76FD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rPr>
              <w:t>专栏</w:t>
            </w:r>
            <w:r>
              <w:rPr>
                <w:rFonts w:hint="eastAsia" w:ascii="Times New Roman" w:hAnsi="Times New Roman" w:eastAsia="黑体"/>
                <w:sz w:val="28"/>
                <w:szCs w:val="28"/>
                <w:lang w:val="en-US" w:eastAsia="zh-CN"/>
              </w:rPr>
              <w:t xml:space="preserve">5  </w:t>
            </w:r>
            <w:r>
              <w:rPr>
                <w:rFonts w:hint="eastAsia" w:ascii="Times New Roman" w:hAnsi="Times New Roman" w:eastAsia="黑体"/>
                <w:sz w:val="28"/>
                <w:szCs w:val="28"/>
              </w:rPr>
              <w:t>耕地提质改造重点工程</w:t>
            </w:r>
          </w:p>
        </w:tc>
      </w:tr>
      <w:tr w14:paraId="6EAA7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634" w:type="pct"/>
            <w:noWrap w:val="0"/>
            <w:tcMar>
              <w:top w:w="120" w:type="dxa"/>
              <w:left w:w="120" w:type="dxa"/>
              <w:bottom w:w="120" w:type="dxa"/>
              <w:right w:w="120" w:type="dxa"/>
            </w:tcMar>
            <w:vAlign w:val="center"/>
          </w:tcPr>
          <w:p w14:paraId="34BBB98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rPr>
              <w:t>工程类型</w:t>
            </w:r>
            <w:r>
              <w:rPr>
                <w:rFonts w:hint="eastAsia" w:ascii="Times New Roman" w:hAnsi="Times New Roman" w:eastAsia="黑体"/>
                <w:sz w:val="28"/>
                <w:szCs w:val="28"/>
                <w:lang w:val="en-US" w:eastAsia="zh-CN"/>
              </w:rPr>
              <w:t>分区</w:t>
            </w:r>
          </w:p>
        </w:tc>
        <w:tc>
          <w:tcPr>
            <w:tcW w:w="3365" w:type="pct"/>
            <w:noWrap w:val="0"/>
            <w:tcMar>
              <w:top w:w="120" w:type="dxa"/>
              <w:left w:w="120" w:type="dxa"/>
              <w:bottom w:w="120" w:type="dxa"/>
              <w:right w:w="120" w:type="dxa"/>
            </w:tcMar>
            <w:vAlign w:val="center"/>
          </w:tcPr>
          <w:p w14:paraId="3A0DD24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rPr>
              <w:t>建设内容</w:t>
            </w:r>
          </w:p>
        </w:tc>
      </w:tr>
      <w:tr w14:paraId="5A49F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634" w:type="pct"/>
            <w:noWrap w:val="0"/>
            <w:tcMar>
              <w:top w:w="120" w:type="dxa"/>
              <w:left w:w="120" w:type="dxa"/>
              <w:bottom w:w="120" w:type="dxa"/>
              <w:right w:w="120" w:type="dxa"/>
            </w:tcMar>
            <w:vAlign w:val="center"/>
          </w:tcPr>
          <w:p w14:paraId="27FEEB2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集聚提升区（淮北平原、沿江平原为主）</w:t>
            </w:r>
          </w:p>
        </w:tc>
        <w:tc>
          <w:tcPr>
            <w:tcW w:w="3365" w:type="pct"/>
            <w:noWrap w:val="0"/>
            <w:tcMar>
              <w:top w:w="120" w:type="dxa"/>
              <w:left w:w="120" w:type="dxa"/>
              <w:bottom w:w="120" w:type="dxa"/>
              <w:right w:w="120" w:type="dxa"/>
            </w:tcMar>
            <w:vAlign w:val="center"/>
          </w:tcPr>
          <w:p w14:paraId="08899D29">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规整条田，提升连片度</w:t>
            </w:r>
            <w:r>
              <w:rPr>
                <w:rFonts w:hint="eastAsia" w:ascii="Times New Roman" w:hAnsi="Times New Roman" w:eastAsia="方正仿宋_GBK"/>
                <w:sz w:val="28"/>
                <w:szCs w:val="28"/>
              </w:rPr>
              <w:t>，</w:t>
            </w:r>
            <w:r>
              <w:rPr>
                <w:rFonts w:ascii="Times New Roman" w:hAnsi="Times New Roman" w:eastAsia="方正仿宋_GBK"/>
                <w:sz w:val="28"/>
                <w:szCs w:val="28"/>
              </w:rPr>
              <w:t>升级灌排与路网，推广节水灌溉</w:t>
            </w:r>
            <w:r>
              <w:rPr>
                <w:rFonts w:hint="eastAsia" w:ascii="Times New Roman" w:hAnsi="Times New Roman" w:eastAsia="方正仿宋_GBK"/>
                <w:sz w:val="28"/>
                <w:szCs w:val="28"/>
              </w:rPr>
              <w:t>，</w:t>
            </w:r>
            <w:r>
              <w:rPr>
                <w:rFonts w:ascii="Times New Roman" w:hAnsi="Times New Roman" w:eastAsia="方正仿宋_GBK"/>
                <w:sz w:val="28"/>
                <w:szCs w:val="28"/>
              </w:rPr>
              <w:t>治理障碍土壤</w:t>
            </w:r>
            <w:r>
              <w:rPr>
                <w:rFonts w:hint="eastAsia" w:ascii="Times New Roman" w:hAnsi="Times New Roman" w:eastAsia="方正仿宋_GBK"/>
                <w:sz w:val="28"/>
                <w:szCs w:val="28"/>
              </w:rPr>
              <w:t>，</w:t>
            </w:r>
            <w:r>
              <w:rPr>
                <w:rFonts w:ascii="Times New Roman" w:hAnsi="Times New Roman" w:eastAsia="方正仿宋_GBK"/>
                <w:sz w:val="28"/>
                <w:szCs w:val="28"/>
              </w:rPr>
              <w:t>布设智慧农业设施，发展规模化现代农业</w:t>
            </w:r>
            <w:r>
              <w:rPr>
                <w:rFonts w:hint="eastAsia" w:ascii="Times New Roman" w:hAnsi="Times New Roman" w:eastAsia="方正仿宋_GBK"/>
                <w:sz w:val="28"/>
                <w:szCs w:val="28"/>
              </w:rPr>
              <w:t>。</w:t>
            </w:r>
            <w:r>
              <w:rPr>
                <w:rFonts w:ascii="Times New Roman" w:hAnsi="Times New Roman" w:eastAsia="方正仿宋_GBK"/>
                <w:sz w:val="28"/>
                <w:szCs w:val="28"/>
              </w:rPr>
              <w:t>落实土壤培肥措施</w:t>
            </w:r>
            <w:r>
              <w:rPr>
                <w:rFonts w:hint="eastAsia" w:ascii="Times New Roman" w:hAnsi="Times New Roman" w:eastAsia="方正仿宋_GBK"/>
                <w:sz w:val="28"/>
                <w:szCs w:val="28"/>
              </w:rPr>
              <w:t>，</w:t>
            </w:r>
            <w:r>
              <w:rPr>
                <w:rFonts w:ascii="Times New Roman" w:hAnsi="Times New Roman" w:eastAsia="方正仿宋_GBK"/>
                <w:sz w:val="28"/>
                <w:szCs w:val="28"/>
              </w:rPr>
              <w:t>建立县</w:t>
            </w:r>
            <w:r>
              <w:rPr>
                <w:rFonts w:hint="eastAsia" w:ascii="Times New Roman" w:hAnsi="Times New Roman" w:eastAsia="方正仿宋_GBK"/>
                <w:sz w:val="28"/>
                <w:szCs w:val="28"/>
              </w:rPr>
              <w:t>—乡</w:t>
            </w:r>
            <w:r>
              <w:rPr>
                <w:rFonts w:ascii="Times New Roman" w:hAnsi="Times New Roman" w:eastAsia="方正仿宋_GBK"/>
                <w:sz w:val="28"/>
                <w:szCs w:val="28"/>
              </w:rPr>
              <w:t>镇</w:t>
            </w:r>
            <w:r>
              <w:rPr>
                <w:rFonts w:hint="eastAsia" w:ascii="Times New Roman" w:hAnsi="Times New Roman" w:eastAsia="方正仿宋_GBK"/>
                <w:sz w:val="28"/>
                <w:szCs w:val="28"/>
              </w:rPr>
              <w:t>—</w:t>
            </w:r>
            <w:r>
              <w:rPr>
                <w:rFonts w:ascii="Times New Roman" w:hAnsi="Times New Roman" w:eastAsia="方正仿宋_GBK"/>
                <w:sz w:val="28"/>
                <w:szCs w:val="28"/>
              </w:rPr>
              <w:t>村三级管护体系</w:t>
            </w:r>
            <w:r>
              <w:rPr>
                <w:rFonts w:hint="eastAsia" w:ascii="Times New Roman" w:hAnsi="Times New Roman" w:eastAsia="方正仿宋_GBK"/>
                <w:sz w:val="28"/>
                <w:szCs w:val="28"/>
                <w:lang w:eastAsia="zh-CN"/>
              </w:rPr>
              <w:t>。</w:t>
            </w:r>
          </w:p>
        </w:tc>
      </w:tr>
      <w:tr w14:paraId="4D230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634" w:type="pct"/>
            <w:noWrap w:val="0"/>
            <w:tcMar>
              <w:top w:w="120" w:type="dxa"/>
              <w:left w:w="120" w:type="dxa"/>
              <w:bottom w:w="120" w:type="dxa"/>
              <w:right w:w="120" w:type="dxa"/>
            </w:tcMar>
            <w:vAlign w:val="center"/>
          </w:tcPr>
          <w:p w14:paraId="2F89AEE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整合优化区（江淮丘陵为主）</w:t>
            </w:r>
          </w:p>
        </w:tc>
        <w:tc>
          <w:tcPr>
            <w:tcW w:w="3365" w:type="pct"/>
            <w:noWrap w:val="0"/>
            <w:tcMar>
              <w:top w:w="120" w:type="dxa"/>
              <w:left w:w="120" w:type="dxa"/>
              <w:bottom w:w="120" w:type="dxa"/>
              <w:right w:w="120" w:type="dxa"/>
            </w:tcMar>
            <w:vAlign w:val="center"/>
          </w:tcPr>
          <w:p w14:paraId="27713FBA">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对恢复属性地块开展复垦，配套基础设施</w:t>
            </w:r>
            <w:r>
              <w:rPr>
                <w:rFonts w:hint="eastAsia" w:ascii="Times New Roman" w:hAnsi="Times New Roman" w:eastAsia="方正仿宋_GBK"/>
                <w:sz w:val="28"/>
                <w:szCs w:val="28"/>
              </w:rPr>
              <w:t>，</w:t>
            </w:r>
            <w:r>
              <w:rPr>
                <w:rFonts w:ascii="Times New Roman" w:hAnsi="Times New Roman" w:eastAsia="方正仿宋_GBK"/>
                <w:sz w:val="28"/>
                <w:szCs w:val="28"/>
              </w:rPr>
              <w:t>培肥地力，整治碎片化插花地</w:t>
            </w:r>
            <w:r>
              <w:rPr>
                <w:rFonts w:hint="eastAsia" w:ascii="Times New Roman" w:hAnsi="Times New Roman" w:eastAsia="方正仿宋_GBK"/>
                <w:sz w:val="28"/>
                <w:szCs w:val="28"/>
              </w:rPr>
              <w:t>。</w:t>
            </w:r>
            <w:r>
              <w:rPr>
                <w:rFonts w:ascii="Times New Roman" w:hAnsi="Times New Roman" w:eastAsia="方正仿宋_GBK"/>
                <w:sz w:val="28"/>
                <w:szCs w:val="28"/>
              </w:rPr>
              <w:t>落实土壤培肥措施</w:t>
            </w:r>
            <w:r>
              <w:rPr>
                <w:rFonts w:hint="eastAsia" w:ascii="Times New Roman" w:hAnsi="Times New Roman" w:eastAsia="方正仿宋_GBK"/>
                <w:sz w:val="28"/>
                <w:szCs w:val="28"/>
              </w:rPr>
              <w:t>，</w:t>
            </w:r>
            <w:r>
              <w:rPr>
                <w:rFonts w:ascii="Times New Roman" w:hAnsi="Times New Roman" w:eastAsia="方正仿宋_GBK"/>
                <w:sz w:val="28"/>
                <w:szCs w:val="28"/>
              </w:rPr>
              <w:t>建立县</w:t>
            </w:r>
            <w:r>
              <w:rPr>
                <w:rFonts w:hint="eastAsia" w:ascii="Times New Roman" w:hAnsi="Times New Roman" w:eastAsia="方正仿宋_GBK"/>
                <w:sz w:val="28"/>
                <w:szCs w:val="28"/>
              </w:rPr>
              <w:t>—乡</w:t>
            </w:r>
            <w:r>
              <w:rPr>
                <w:rFonts w:ascii="Times New Roman" w:hAnsi="Times New Roman" w:eastAsia="方正仿宋_GBK"/>
                <w:sz w:val="28"/>
                <w:szCs w:val="28"/>
              </w:rPr>
              <w:t>镇</w:t>
            </w:r>
            <w:r>
              <w:rPr>
                <w:rFonts w:hint="eastAsia" w:ascii="Times New Roman" w:hAnsi="Times New Roman" w:eastAsia="方正仿宋_GBK"/>
                <w:sz w:val="28"/>
                <w:szCs w:val="28"/>
              </w:rPr>
              <w:t>—</w:t>
            </w:r>
            <w:r>
              <w:rPr>
                <w:rFonts w:ascii="Times New Roman" w:hAnsi="Times New Roman" w:eastAsia="方正仿宋_GBK"/>
                <w:sz w:val="28"/>
                <w:szCs w:val="28"/>
              </w:rPr>
              <w:t>村三级管护体系</w:t>
            </w:r>
            <w:r>
              <w:rPr>
                <w:rFonts w:hint="eastAsia" w:ascii="Times New Roman" w:hAnsi="Times New Roman" w:eastAsia="方正仿宋_GBK"/>
                <w:sz w:val="28"/>
                <w:szCs w:val="28"/>
                <w:lang w:eastAsia="zh-CN"/>
              </w:rPr>
              <w:t>。</w:t>
            </w:r>
          </w:p>
        </w:tc>
      </w:tr>
      <w:tr w14:paraId="6D6C9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634" w:type="pct"/>
            <w:noWrap w:val="0"/>
            <w:tcMar>
              <w:top w:w="120" w:type="dxa"/>
              <w:left w:w="120" w:type="dxa"/>
              <w:bottom w:w="120" w:type="dxa"/>
              <w:right w:w="120" w:type="dxa"/>
            </w:tcMar>
            <w:vAlign w:val="center"/>
          </w:tcPr>
          <w:p w14:paraId="2090DAC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空间置换区（皖西大别山、皖南山区为主</w:t>
            </w:r>
            <w:r>
              <w:rPr>
                <w:rFonts w:hint="eastAsia" w:ascii="方正楷体_GBK" w:hAnsi="方正楷体_GBK" w:eastAsia="方正楷体_GBK" w:cs="方正楷体_GBK"/>
                <w:sz w:val="28"/>
                <w:szCs w:val="28"/>
                <w:lang w:eastAsia="zh-CN"/>
              </w:rPr>
              <w:t>）</w:t>
            </w:r>
          </w:p>
        </w:tc>
        <w:tc>
          <w:tcPr>
            <w:tcW w:w="3365" w:type="pct"/>
            <w:noWrap w:val="0"/>
            <w:tcMar>
              <w:top w:w="120" w:type="dxa"/>
              <w:left w:w="120" w:type="dxa"/>
              <w:bottom w:w="120" w:type="dxa"/>
              <w:right w:w="120" w:type="dxa"/>
            </w:tcMar>
            <w:vAlign w:val="center"/>
          </w:tcPr>
          <w:p w14:paraId="19DFE1D4">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25度以上陡坡有序生态退耕</w:t>
            </w:r>
            <w:r>
              <w:rPr>
                <w:rFonts w:hint="eastAsia" w:ascii="Times New Roman" w:hAnsi="Times New Roman" w:eastAsia="方正仿宋_GBK"/>
                <w:sz w:val="28"/>
                <w:szCs w:val="28"/>
              </w:rPr>
              <w:t>，</w:t>
            </w:r>
            <w:r>
              <w:rPr>
                <w:rFonts w:ascii="Times New Roman" w:hAnsi="Times New Roman" w:eastAsia="方正仿宋_GBK"/>
                <w:sz w:val="28"/>
                <w:szCs w:val="28"/>
              </w:rPr>
              <w:t>低丘山麓建设水平梯田，治理水土流失、土壤酸化</w:t>
            </w:r>
            <w:r>
              <w:rPr>
                <w:rFonts w:hint="eastAsia" w:ascii="Times New Roman" w:hAnsi="Times New Roman" w:eastAsia="方正仿宋_GBK"/>
                <w:sz w:val="28"/>
                <w:szCs w:val="28"/>
              </w:rPr>
              <w:t>，</w:t>
            </w:r>
            <w:r>
              <w:rPr>
                <w:rFonts w:ascii="Times New Roman" w:hAnsi="Times New Roman" w:eastAsia="方正仿宋_GBK"/>
                <w:sz w:val="28"/>
                <w:szCs w:val="28"/>
              </w:rPr>
              <w:t>兼顾特色产业，推动生态产业化</w:t>
            </w:r>
            <w:r>
              <w:rPr>
                <w:rFonts w:hint="eastAsia" w:ascii="Times New Roman" w:hAnsi="Times New Roman" w:eastAsia="方正仿宋_GBK"/>
                <w:sz w:val="28"/>
                <w:szCs w:val="28"/>
              </w:rPr>
              <w:t>。</w:t>
            </w:r>
            <w:r>
              <w:rPr>
                <w:rFonts w:ascii="Times New Roman" w:hAnsi="Times New Roman" w:eastAsia="方正仿宋_GBK"/>
                <w:sz w:val="28"/>
                <w:szCs w:val="28"/>
              </w:rPr>
              <w:t>落实土壤培肥措施</w:t>
            </w:r>
            <w:r>
              <w:rPr>
                <w:rFonts w:hint="eastAsia" w:ascii="Times New Roman" w:hAnsi="Times New Roman" w:eastAsia="方正仿宋_GBK"/>
                <w:sz w:val="28"/>
                <w:szCs w:val="28"/>
              </w:rPr>
              <w:t>，</w:t>
            </w:r>
            <w:r>
              <w:rPr>
                <w:rFonts w:ascii="Times New Roman" w:hAnsi="Times New Roman" w:eastAsia="方正仿宋_GBK"/>
                <w:sz w:val="28"/>
                <w:szCs w:val="28"/>
              </w:rPr>
              <w:t>建立县</w:t>
            </w:r>
            <w:r>
              <w:rPr>
                <w:rFonts w:hint="eastAsia" w:ascii="Times New Roman" w:hAnsi="Times New Roman" w:eastAsia="方正仿宋_GBK"/>
                <w:sz w:val="28"/>
                <w:szCs w:val="28"/>
              </w:rPr>
              <w:t>—乡</w:t>
            </w:r>
            <w:r>
              <w:rPr>
                <w:rFonts w:ascii="Times New Roman" w:hAnsi="Times New Roman" w:eastAsia="方正仿宋_GBK"/>
                <w:sz w:val="28"/>
                <w:szCs w:val="28"/>
              </w:rPr>
              <w:t>镇</w:t>
            </w:r>
            <w:r>
              <w:rPr>
                <w:rFonts w:hint="eastAsia" w:ascii="Times New Roman" w:hAnsi="Times New Roman" w:eastAsia="方正仿宋_GBK"/>
                <w:sz w:val="28"/>
                <w:szCs w:val="28"/>
              </w:rPr>
              <w:t>—</w:t>
            </w:r>
            <w:r>
              <w:rPr>
                <w:rFonts w:ascii="Times New Roman" w:hAnsi="Times New Roman" w:eastAsia="方正仿宋_GBK"/>
                <w:sz w:val="28"/>
                <w:szCs w:val="28"/>
              </w:rPr>
              <w:t>村三级管护体系</w:t>
            </w:r>
            <w:r>
              <w:rPr>
                <w:rFonts w:hint="eastAsia" w:ascii="Times New Roman" w:hAnsi="Times New Roman" w:eastAsia="方正仿宋_GBK"/>
                <w:sz w:val="28"/>
                <w:szCs w:val="28"/>
                <w:lang w:eastAsia="zh-CN"/>
              </w:rPr>
              <w:t>。</w:t>
            </w:r>
          </w:p>
        </w:tc>
      </w:tr>
    </w:tbl>
    <w:p w14:paraId="7D5FDA5C">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五、落实分区分类管控，筑牢绿色生态屏障</w:t>
      </w:r>
    </w:p>
    <w:p w14:paraId="4D76933B">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Style w:val="9"/>
          <w:rFonts w:hint="eastAsia" w:ascii="方正楷体_GBK" w:hAnsi="方正楷体_GBK" w:eastAsia="方正楷体_GBK" w:cs="方正楷体_GBK"/>
          <w:kern w:val="0"/>
          <w:sz w:val="32"/>
          <w:szCs w:val="32"/>
          <w:lang w:bidi="ar"/>
        </w:rPr>
      </w:pPr>
      <w:r>
        <w:rPr>
          <w:rStyle w:val="9"/>
          <w:rFonts w:hint="eastAsia" w:ascii="方正楷体_GBK" w:hAnsi="方正楷体_GBK" w:eastAsia="方正楷体_GBK" w:cs="方正楷体_GBK"/>
          <w:kern w:val="0"/>
          <w:sz w:val="32"/>
          <w:szCs w:val="32"/>
          <w:lang w:bidi="ar"/>
        </w:rPr>
        <w:t>（</w:t>
      </w:r>
      <w:r>
        <w:rPr>
          <w:rStyle w:val="9"/>
          <w:rFonts w:hint="eastAsia" w:ascii="方正楷体_GBK" w:hAnsi="方正楷体_GBK" w:eastAsia="方正楷体_GBK" w:cs="方正楷体_GBK"/>
          <w:kern w:val="0"/>
          <w:sz w:val="32"/>
          <w:szCs w:val="32"/>
          <w:lang w:val="en-US" w:eastAsia="zh-CN" w:bidi="ar"/>
        </w:rPr>
        <w:t>七</w:t>
      </w:r>
      <w:r>
        <w:rPr>
          <w:rStyle w:val="9"/>
          <w:rFonts w:hint="eastAsia" w:ascii="方正楷体_GBK" w:hAnsi="方正楷体_GBK" w:eastAsia="方正楷体_GBK" w:cs="方正楷体_GBK"/>
          <w:kern w:val="0"/>
          <w:sz w:val="32"/>
          <w:szCs w:val="32"/>
          <w:lang w:bidi="ar"/>
        </w:rPr>
        <w:t>）实施分区统筹布局构建全域生态防护格局</w:t>
      </w:r>
    </w:p>
    <w:p w14:paraId="604ABFD3">
      <w:pPr>
        <w:keepNext w:val="0"/>
        <w:keepLines w:val="0"/>
        <w:pageBreakBefore w:val="0"/>
        <w:kinsoku/>
        <w:wordWrap/>
        <w:overflowPunct/>
        <w:topLinePunct w:val="0"/>
        <w:autoSpaceDE/>
        <w:autoSpaceDN/>
        <w:bidi w:val="0"/>
        <w:adjustRightInd/>
        <w:snapToGrid/>
        <w:spacing w:line="560" w:lineRule="exact"/>
        <w:ind w:firstLine="641"/>
        <w:textAlignment w:val="auto"/>
        <w:rPr>
          <w:rFonts w:ascii="Times New Roman" w:hAnsi="Times New Roman" w:eastAsia="方正仿宋_GBK"/>
          <w:sz w:val="32"/>
          <w:szCs w:val="32"/>
        </w:rPr>
      </w:pPr>
      <w:r>
        <w:rPr>
          <w:rFonts w:hint="eastAsia" w:ascii="方正楷体_GBK" w:hAnsi="方正楷体_GBK" w:eastAsia="方正楷体_GBK" w:cs="方正楷体_GBK"/>
          <w:sz w:val="32"/>
          <w:szCs w:val="32"/>
          <w:lang w:val="en-US" w:eastAsia="zh-CN"/>
        </w:rPr>
        <w:t>构建差异化的林地保护格局。</w:t>
      </w:r>
      <w:r>
        <w:rPr>
          <w:rFonts w:ascii="Times New Roman" w:hAnsi="Times New Roman" w:eastAsia="方正仿宋_GBK"/>
          <w:sz w:val="32"/>
          <w:szCs w:val="32"/>
        </w:rPr>
        <w:t>立足五大片区差异化禀赋，</w:t>
      </w:r>
      <w:r>
        <w:rPr>
          <w:rFonts w:hint="eastAsia" w:ascii="Times New Roman" w:hAnsi="Times New Roman" w:eastAsia="方正仿宋_GBK"/>
          <w:sz w:val="32"/>
          <w:szCs w:val="32"/>
        </w:rPr>
        <w:t>落实政策层面下达的林地保有量目标和森林覆盖率目标，合理确定林草空间，</w:t>
      </w:r>
      <w:bookmarkStart w:id="0" w:name="OLE_LINK1"/>
      <w:bookmarkStart w:id="1" w:name="OLE_LINK2"/>
      <w:r>
        <w:rPr>
          <w:rFonts w:ascii="Times New Roman" w:hAnsi="Times New Roman" w:eastAsia="方正仿宋_GBK"/>
          <w:sz w:val="32"/>
          <w:szCs w:val="32"/>
        </w:rPr>
        <w:t>统筹森林数量增长与质量提升，</w:t>
      </w:r>
      <w:bookmarkEnd w:id="0"/>
      <w:bookmarkEnd w:id="1"/>
      <w:r>
        <w:rPr>
          <w:rFonts w:ascii="Times New Roman" w:hAnsi="Times New Roman" w:eastAsia="方正仿宋_GBK"/>
          <w:sz w:val="32"/>
          <w:szCs w:val="32"/>
        </w:rPr>
        <w:t>科学推进国土绿化。</w:t>
      </w:r>
    </w:p>
    <w:p w14:paraId="4CC6B596">
      <w:pPr>
        <w:keepNext w:val="0"/>
        <w:keepLines w:val="0"/>
        <w:pageBreakBefore w:val="0"/>
        <w:kinsoku/>
        <w:wordWrap/>
        <w:overflowPunct/>
        <w:topLinePunct w:val="0"/>
        <w:autoSpaceDE/>
        <w:autoSpaceDN/>
        <w:bidi w:val="0"/>
        <w:adjustRightInd/>
        <w:snapToGrid/>
        <w:spacing w:line="560" w:lineRule="exact"/>
        <w:ind w:firstLine="641"/>
        <w:textAlignment w:val="auto"/>
        <w:rPr>
          <w:rFonts w:ascii="Times New Roman" w:hAnsi="Times New Roman" w:eastAsia="方正仿宋_GBK"/>
          <w:sz w:val="32"/>
          <w:szCs w:val="32"/>
        </w:rPr>
      </w:pP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793"/>
        <w:gridCol w:w="5753"/>
      </w:tblGrid>
      <w:tr w14:paraId="12F9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5000" w:type="pct"/>
            <w:gridSpan w:val="2"/>
            <w:noWrap w:val="0"/>
            <w:tcMar>
              <w:top w:w="120" w:type="dxa"/>
              <w:left w:w="120" w:type="dxa"/>
              <w:bottom w:w="120" w:type="dxa"/>
              <w:right w:w="120" w:type="dxa"/>
            </w:tcMar>
            <w:vAlign w:val="center"/>
          </w:tcPr>
          <w:p w14:paraId="410BB6D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rPr>
              <w:t>专栏</w:t>
            </w:r>
            <w:r>
              <w:rPr>
                <w:rFonts w:hint="eastAsia" w:ascii="Times New Roman" w:hAnsi="Times New Roman" w:eastAsia="黑体"/>
                <w:sz w:val="28"/>
                <w:szCs w:val="28"/>
                <w:lang w:val="en-US" w:eastAsia="zh-CN"/>
              </w:rPr>
              <w:t xml:space="preserve">6  </w:t>
            </w:r>
            <w:r>
              <w:rPr>
                <w:rFonts w:hint="eastAsia" w:ascii="Times New Roman" w:hAnsi="Times New Roman" w:eastAsia="黑体" w:cs="Times New Roman"/>
                <w:kern w:val="2"/>
                <w:sz w:val="28"/>
                <w:szCs w:val="28"/>
                <w:lang w:bidi="ar"/>
              </w:rPr>
              <w:t>实施分区统筹布局</w:t>
            </w:r>
          </w:p>
        </w:tc>
      </w:tr>
      <w:tr w14:paraId="565E0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634" w:type="pct"/>
            <w:noWrap w:val="0"/>
            <w:tcMar>
              <w:top w:w="120" w:type="dxa"/>
              <w:left w:w="120" w:type="dxa"/>
              <w:bottom w:w="120" w:type="dxa"/>
              <w:right w:w="120" w:type="dxa"/>
            </w:tcMar>
            <w:vAlign w:val="center"/>
          </w:tcPr>
          <w:p w14:paraId="33AB5A0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lang w:val="en-US" w:eastAsia="zh-CN"/>
              </w:rPr>
              <w:t>布局统筹分区</w:t>
            </w:r>
          </w:p>
        </w:tc>
        <w:tc>
          <w:tcPr>
            <w:tcW w:w="3365" w:type="pct"/>
            <w:noWrap w:val="0"/>
            <w:tcMar>
              <w:top w:w="120" w:type="dxa"/>
              <w:left w:w="120" w:type="dxa"/>
              <w:bottom w:w="120" w:type="dxa"/>
              <w:right w:w="120" w:type="dxa"/>
            </w:tcMar>
            <w:vAlign w:val="center"/>
          </w:tcPr>
          <w:p w14:paraId="28B7DFD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lang w:val="en-US" w:eastAsia="zh-CN"/>
              </w:rPr>
              <w:t>工程措施</w:t>
            </w:r>
          </w:p>
        </w:tc>
      </w:tr>
      <w:tr w14:paraId="6DF37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634" w:type="pct"/>
            <w:noWrap w:val="0"/>
            <w:tcMar>
              <w:top w:w="120" w:type="dxa"/>
              <w:left w:w="120" w:type="dxa"/>
              <w:bottom w:w="120" w:type="dxa"/>
              <w:right w:w="120" w:type="dxa"/>
            </w:tcMar>
            <w:vAlign w:val="center"/>
          </w:tcPr>
          <w:p w14:paraId="2209A21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淮北平原区</w:t>
            </w:r>
            <w:r>
              <w:rPr>
                <w:rFonts w:hint="eastAsia" w:ascii="方正楷体_GBK" w:hAnsi="方正楷体_GBK" w:eastAsia="方正楷体_GBK" w:cs="方正楷体_GBK"/>
                <w:sz w:val="28"/>
                <w:szCs w:val="28"/>
                <w:lang w:val="en-US" w:eastAsia="zh-CN"/>
              </w:rPr>
              <w:t xml:space="preserve"> </w:t>
            </w:r>
          </w:p>
        </w:tc>
        <w:tc>
          <w:tcPr>
            <w:tcW w:w="3365" w:type="pct"/>
            <w:noWrap w:val="0"/>
            <w:tcMar>
              <w:top w:w="120" w:type="dxa"/>
              <w:left w:w="120" w:type="dxa"/>
              <w:bottom w:w="120" w:type="dxa"/>
              <w:right w:w="120" w:type="dxa"/>
            </w:tcMar>
            <w:vAlign w:val="center"/>
          </w:tcPr>
          <w:p w14:paraId="5CCAE0F6">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cs="Times New Roman"/>
                <w:sz w:val="28"/>
                <w:szCs w:val="28"/>
              </w:rPr>
              <w:t>完善农田林网，扩大村庄防护林，提升防风固沙、水土保持、淮河生态缓冲能力</w:t>
            </w:r>
            <w:r>
              <w:rPr>
                <w:rFonts w:hint="eastAsia" w:ascii="Times New Roman" w:hAnsi="Times New Roman" w:eastAsia="方正仿宋_GBK" w:cs="Times New Roman"/>
                <w:sz w:val="28"/>
                <w:szCs w:val="28"/>
              </w:rPr>
              <w:t>，补齐林地短板，构</w:t>
            </w:r>
            <w:r>
              <w:rPr>
                <w:rFonts w:ascii="Times New Roman" w:hAnsi="Times New Roman" w:eastAsia="方正仿宋_GBK" w:cs="Times New Roman"/>
                <w:sz w:val="28"/>
                <w:szCs w:val="28"/>
              </w:rPr>
              <w:t>建平原农区防护网格。</w:t>
            </w:r>
          </w:p>
        </w:tc>
      </w:tr>
      <w:tr w14:paraId="4C0BC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634" w:type="pct"/>
            <w:noWrap w:val="0"/>
            <w:tcMar>
              <w:top w:w="120" w:type="dxa"/>
              <w:left w:w="120" w:type="dxa"/>
              <w:bottom w:w="120" w:type="dxa"/>
              <w:right w:w="120" w:type="dxa"/>
            </w:tcMar>
            <w:vAlign w:val="center"/>
          </w:tcPr>
          <w:p w14:paraId="2B25FB5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江淮丘陵区</w:t>
            </w:r>
          </w:p>
        </w:tc>
        <w:tc>
          <w:tcPr>
            <w:tcW w:w="3365" w:type="pct"/>
            <w:noWrap w:val="0"/>
            <w:tcMar>
              <w:top w:w="120" w:type="dxa"/>
              <w:left w:w="120" w:type="dxa"/>
              <w:bottom w:w="120" w:type="dxa"/>
              <w:right w:w="120" w:type="dxa"/>
            </w:tcMar>
            <w:vAlign w:val="center"/>
          </w:tcPr>
          <w:p w14:paraId="3D6EC0EB">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cs="Times New Roman"/>
                <w:sz w:val="28"/>
                <w:szCs w:val="28"/>
              </w:rPr>
              <w:t>强化江淮分水岭水源调蓄，维护山体植被连续性，防控水土流失，兼顾农田防护林与经济林果复合经营</w:t>
            </w:r>
          </w:p>
        </w:tc>
      </w:tr>
      <w:tr w14:paraId="698CC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634" w:type="pct"/>
            <w:noWrap w:val="0"/>
            <w:tcMar>
              <w:top w:w="120" w:type="dxa"/>
              <w:left w:w="120" w:type="dxa"/>
              <w:bottom w:w="120" w:type="dxa"/>
              <w:right w:w="120" w:type="dxa"/>
            </w:tcMar>
            <w:vAlign w:val="center"/>
          </w:tcPr>
          <w:p w14:paraId="1F679AF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沿江平原区</w:t>
            </w:r>
          </w:p>
        </w:tc>
        <w:tc>
          <w:tcPr>
            <w:tcW w:w="3365" w:type="pct"/>
            <w:noWrap w:val="0"/>
            <w:tcMar>
              <w:top w:w="120" w:type="dxa"/>
              <w:left w:w="120" w:type="dxa"/>
              <w:bottom w:w="120" w:type="dxa"/>
              <w:right w:w="120" w:type="dxa"/>
            </w:tcMar>
            <w:vAlign w:val="center"/>
          </w:tcPr>
          <w:p w14:paraId="39534471">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cs="Times New Roman"/>
                <w:sz w:val="28"/>
                <w:szCs w:val="28"/>
              </w:rPr>
              <w:t>推进城镇周边</w:t>
            </w:r>
            <w:r>
              <w:rPr>
                <w:rFonts w:hint="eastAsia" w:ascii="Times New Roman" w:hAnsi="Times New Roman" w:eastAsia="方正仿宋_GBK" w:cs="Times New Roman"/>
                <w:sz w:val="28"/>
                <w:szCs w:val="28"/>
              </w:rPr>
              <w:t>森林</w:t>
            </w:r>
            <w:r>
              <w:rPr>
                <w:rFonts w:ascii="Times New Roman" w:hAnsi="Times New Roman" w:eastAsia="方正仿宋_GBK" w:cs="Times New Roman"/>
                <w:sz w:val="28"/>
                <w:szCs w:val="28"/>
              </w:rPr>
              <w:t>提质增效，建设郊野绿地、通道林带，发挥林地空气净化、水土保持、游憩服务功能</w:t>
            </w:r>
          </w:p>
        </w:tc>
      </w:tr>
      <w:tr w14:paraId="64ECA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634" w:type="pct"/>
            <w:noWrap w:val="0"/>
            <w:tcMar>
              <w:top w:w="120" w:type="dxa"/>
              <w:left w:w="120" w:type="dxa"/>
              <w:bottom w:w="120" w:type="dxa"/>
              <w:right w:w="120" w:type="dxa"/>
            </w:tcMar>
            <w:vAlign w:val="center"/>
          </w:tcPr>
          <w:p w14:paraId="033FFC8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kern w:val="2"/>
                <w:sz w:val="28"/>
                <w:szCs w:val="28"/>
                <w:lang w:val="en-US" w:eastAsia="zh-CN" w:bidi="ar-SA"/>
              </w:rPr>
            </w:pPr>
            <w:r>
              <w:rPr>
                <w:rFonts w:ascii="方正楷体_GBK" w:hAnsi="方正楷体_GBK" w:eastAsia="方正楷体_GBK" w:cs="方正楷体_GBK"/>
                <w:sz w:val="28"/>
                <w:szCs w:val="28"/>
              </w:rPr>
              <w:t>皖西大别山区</w:t>
            </w:r>
          </w:p>
        </w:tc>
        <w:tc>
          <w:tcPr>
            <w:tcW w:w="3365" w:type="pct"/>
            <w:noWrap w:val="0"/>
            <w:tcMar>
              <w:top w:w="120" w:type="dxa"/>
              <w:left w:w="120" w:type="dxa"/>
              <w:bottom w:w="120" w:type="dxa"/>
              <w:right w:w="120" w:type="dxa"/>
            </w:tcMar>
            <w:vAlign w:val="center"/>
          </w:tcPr>
          <w:p w14:paraId="7B0C46B5">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cs="Times New Roman"/>
                <w:kern w:val="2"/>
                <w:sz w:val="28"/>
                <w:szCs w:val="28"/>
                <w:lang w:val="en-US" w:eastAsia="zh-CN" w:bidi="ar-SA"/>
              </w:rPr>
            </w:pPr>
            <w:r>
              <w:rPr>
                <w:rFonts w:ascii="Times New Roman" w:hAnsi="Times New Roman" w:eastAsia="方正仿宋_GBK" w:cs="Times New Roman"/>
                <w:sz w:val="28"/>
                <w:szCs w:val="28"/>
              </w:rPr>
              <w:t>维护山地植被全覆盖，强化水源涵养、库区水土保持、珍稀物种栖息地保护，保障流域水环境安全</w:t>
            </w:r>
          </w:p>
        </w:tc>
      </w:tr>
      <w:tr w14:paraId="0A279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634" w:type="pct"/>
            <w:noWrap w:val="0"/>
            <w:tcMar>
              <w:top w:w="120" w:type="dxa"/>
              <w:left w:w="120" w:type="dxa"/>
              <w:bottom w:w="120" w:type="dxa"/>
              <w:right w:w="120" w:type="dxa"/>
            </w:tcMar>
            <w:vAlign w:val="center"/>
          </w:tcPr>
          <w:p w14:paraId="013F265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楷体_GBK" w:hAnsi="方正楷体_GBK" w:eastAsia="方正楷体_GBK" w:cs="方正楷体_GBK"/>
                <w:kern w:val="2"/>
                <w:sz w:val="28"/>
                <w:szCs w:val="28"/>
                <w:lang w:val="en-US" w:eastAsia="zh-CN" w:bidi="ar-SA"/>
              </w:rPr>
            </w:pPr>
            <w:r>
              <w:rPr>
                <w:rFonts w:ascii="方正楷体_GBK" w:hAnsi="方正楷体_GBK" w:eastAsia="方正楷体_GBK" w:cs="方正楷体_GBK"/>
                <w:sz w:val="28"/>
                <w:szCs w:val="28"/>
              </w:rPr>
              <w:t>皖南山区</w:t>
            </w:r>
          </w:p>
        </w:tc>
        <w:tc>
          <w:tcPr>
            <w:tcW w:w="3365" w:type="pct"/>
            <w:noWrap w:val="0"/>
            <w:tcMar>
              <w:top w:w="120" w:type="dxa"/>
              <w:left w:w="120" w:type="dxa"/>
              <w:bottom w:w="120" w:type="dxa"/>
              <w:right w:w="120" w:type="dxa"/>
            </w:tcMar>
            <w:vAlign w:val="center"/>
          </w:tcPr>
          <w:p w14:paraId="4A92D9BB">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cs="Times New Roman"/>
                <w:kern w:val="2"/>
                <w:sz w:val="28"/>
                <w:szCs w:val="28"/>
                <w:lang w:val="en-US" w:eastAsia="zh-CN" w:bidi="ar-SA"/>
              </w:rPr>
            </w:pPr>
            <w:r>
              <w:rPr>
                <w:rFonts w:ascii="Times New Roman" w:hAnsi="Times New Roman" w:eastAsia="方正仿宋_GBK" w:cs="Times New Roman"/>
                <w:sz w:val="28"/>
                <w:szCs w:val="28"/>
              </w:rPr>
              <w:t>实施全域森林修复，提升黄山、九华山</w:t>
            </w:r>
            <w:r>
              <w:rPr>
                <w:rFonts w:hint="eastAsia" w:ascii="Times New Roman" w:hAnsi="Times New Roman" w:eastAsia="方正仿宋_GBK" w:cs="Times New Roman"/>
                <w:sz w:val="28"/>
                <w:szCs w:val="28"/>
              </w:rPr>
              <w:t>等森林</w:t>
            </w:r>
            <w:r>
              <w:rPr>
                <w:rFonts w:ascii="Times New Roman" w:hAnsi="Times New Roman" w:eastAsia="方正仿宋_GBK" w:cs="Times New Roman"/>
                <w:sz w:val="28"/>
                <w:szCs w:val="28"/>
              </w:rPr>
              <w:t>质量，发挥生物多样性保护、水源涵养、碳汇功能，筑牢南部生态防线</w:t>
            </w:r>
          </w:p>
        </w:tc>
      </w:tr>
    </w:tbl>
    <w:p w14:paraId="13D52610">
      <w:pPr>
        <w:keepNext w:val="0"/>
        <w:keepLines w:val="0"/>
        <w:pageBreakBefore w:val="0"/>
        <w:kinsoku/>
        <w:wordWrap/>
        <w:overflowPunct/>
        <w:topLinePunct w:val="0"/>
        <w:autoSpaceDE/>
        <w:autoSpaceDN/>
        <w:bidi w:val="0"/>
        <w:adjustRightInd/>
        <w:snapToGrid/>
        <w:spacing w:line="560" w:lineRule="exact"/>
        <w:ind w:firstLine="641"/>
        <w:textAlignment w:val="auto"/>
        <w:rPr>
          <w:rFonts w:ascii="Times New Roman" w:hAnsi="Times New Roman" w:eastAsia="方正仿宋_GBK"/>
          <w:sz w:val="32"/>
          <w:szCs w:val="32"/>
        </w:rPr>
      </w:pPr>
      <w:r>
        <w:rPr>
          <w:rFonts w:hint="eastAsia" w:ascii="方正楷体_GBK" w:hAnsi="方正楷体_GBK" w:eastAsia="方正楷体_GBK" w:cs="方正楷体_GBK"/>
          <w:sz w:val="32"/>
          <w:szCs w:val="32"/>
          <w:lang w:val="en-US" w:eastAsia="zh-CN"/>
        </w:rPr>
        <w:t>分区引导森林质量提升。</w:t>
      </w:r>
      <w:r>
        <w:rPr>
          <w:rFonts w:ascii="Times New Roman" w:hAnsi="Times New Roman" w:eastAsia="方正仿宋_GBK"/>
          <w:sz w:val="32"/>
          <w:szCs w:val="32"/>
        </w:rPr>
        <w:t>坚持分区施策、量质并重</w:t>
      </w:r>
      <w:r>
        <w:rPr>
          <w:rFonts w:hint="eastAsia" w:ascii="Times New Roman" w:hAnsi="Times New Roman" w:eastAsia="方正仿宋_GBK"/>
          <w:sz w:val="32"/>
          <w:szCs w:val="32"/>
        </w:rPr>
        <w:t>，</w:t>
      </w:r>
      <w:r>
        <w:rPr>
          <w:rFonts w:ascii="Times New Roman" w:hAnsi="Times New Roman" w:eastAsia="方正仿宋_GBK"/>
          <w:sz w:val="32"/>
          <w:szCs w:val="32"/>
        </w:rPr>
        <w:t>平原</w:t>
      </w:r>
      <w:r>
        <w:rPr>
          <w:rFonts w:hint="eastAsia" w:ascii="Times New Roman" w:hAnsi="Times New Roman" w:eastAsia="方正仿宋_GBK"/>
          <w:sz w:val="32"/>
          <w:szCs w:val="32"/>
        </w:rPr>
        <w:t>和丘陵</w:t>
      </w:r>
      <w:r>
        <w:rPr>
          <w:rFonts w:ascii="Times New Roman" w:hAnsi="Times New Roman" w:eastAsia="方正仿宋_GBK"/>
          <w:sz w:val="32"/>
          <w:szCs w:val="32"/>
        </w:rPr>
        <w:t>区域重点补齐防护短板，依托路网、水网织密林网，实现农区农田防护与粮食生产协同增益；山区重点转向森林质量精准提升，由重造林扩面积转向重抚育提功能。统筹生态保护和群众生产生活，科学处理公益林管护与林下经济、林农增收之间的关系，</w:t>
      </w:r>
      <w:r>
        <w:rPr>
          <w:rFonts w:hint="eastAsia" w:ascii="Times New Roman" w:hAnsi="Times New Roman" w:eastAsia="方正仿宋_GBK"/>
          <w:sz w:val="32"/>
          <w:szCs w:val="32"/>
          <w:lang w:val="en-US" w:eastAsia="zh-CN"/>
        </w:rPr>
        <w:t>助</w:t>
      </w:r>
      <w:r>
        <w:rPr>
          <w:rFonts w:hint="eastAsia" w:ascii="Times New Roman" w:hAnsi="Times New Roman" w:eastAsia="方正仿宋_GBK" w:cs="Times New Roman"/>
          <w:sz w:val="32"/>
          <w:szCs w:val="32"/>
          <w:lang w:val="en-US" w:eastAsia="zh-CN"/>
        </w:rPr>
        <w:t>推</w:t>
      </w:r>
      <w:r>
        <w:rPr>
          <w:rFonts w:ascii="Times New Roman" w:hAnsi="Times New Roman" w:eastAsia="方正仿宋_GBK" w:cs="Times New Roman"/>
          <w:sz w:val="32"/>
          <w:szCs w:val="32"/>
        </w:rPr>
        <w:t>实现“保生态、惠民生”。</w:t>
      </w:r>
    </w:p>
    <w:p w14:paraId="13CD7DA0">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Style w:val="9"/>
          <w:rFonts w:hint="eastAsia" w:ascii="方正楷体_GBK" w:hAnsi="方正楷体_GBK" w:eastAsia="方正楷体_GBK" w:cs="方正楷体_GBK"/>
          <w:kern w:val="0"/>
          <w:sz w:val="32"/>
          <w:szCs w:val="32"/>
          <w:lang w:bidi="ar"/>
        </w:rPr>
      </w:pPr>
      <w:r>
        <w:rPr>
          <w:rStyle w:val="9"/>
          <w:rFonts w:hint="eastAsia" w:ascii="方正楷体_GBK" w:hAnsi="方正楷体_GBK" w:eastAsia="方正楷体_GBK" w:cs="方正楷体_GBK"/>
          <w:kern w:val="0"/>
          <w:sz w:val="32"/>
          <w:szCs w:val="32"/>
          <w:lang w:bidi="ar"/>
        </w:rPr>
        <w:t>（</w:t>
      </w:r>
      <w:r>
        <w:rPr>
          <w:rStyle w:val="9"/>
          <w:rFonts w:hint="eastAsia" w:ascii="方正楷体_GBK" w:hAnsi="方正楷体_GBK" w:eastAsia="方正楷体_GBK" w:cs="方正楷体_GBK"/>
          <w:kern w:val="0"/>
          <w:sz w:val="32"/>
          <w:szCs w:val="32"/>
          <w:lang w:val="en-US" w:eastAsia="zh-CN" w:bidi="ar"/>
        </w:rPr>
        <w:t>八</w:t>
      </w:r>
      <w:r>
        <w:rPr>
          <w:rStyle w:val="9"/>
          <w:rFonts w:hint="eastAsia" w:ascii="方正楷体_GBK" w:hAnsi="方正楷体_GBK" w:eastAsia="方正楷体_GBK" w:cs="方正楷体_GBK"/>
          <w:kern w:val="0"/>
          <w:sz w:val="32"/>
          <w:szCs w:val="32"/>
          <w:lang w:bidi="ar"/>
        </w:rPr>
        <w:t>）落实林地分级管控严守生态保护底线</w:t>
      </w:r>
    </w:p>
    <w:p w14:paraId="7BEF6E4A">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方正仿宋_GBK"/>
          <w:sz w:val="32"/>
          <w:szCs w:val="32"/>
          <w:lang w:eastAsia="zh-CN"/>
        </w:rPr>
      </w:pPr>
      <w:r>
        <w:rPr>
          <w:rFonts w:hint="eastAsia" w:ascii="方正楷体_GBK" w:hAnsi="方正楷体_GBK" w:eastAsia="方正楷体_GBK" w:cs="方正楷体_GBK"/>
          <w:sz w:val="32"/>
          <w:szCs w:val="32"/>
          <w:lang w:val="en-US" w:eastAsia="zh-CN"/>
        </w:rPr>
        <w:t>严格林地分级管控。</w:t>
      </w:r>
      <w:r>
        <w:rPr>
          <w:rFonts w:hint="eastAsia" w:ascii="Times New Roman" w:hAnsi="Times New Roman" w:eastAsia="方正仿宋_GBK"/>
          <w:sz w:val="32"/>
          <w:szCs w:val="32"/>
          <w:lang w:eastAsia="zh-CN"/>
        </w:rPr>
        <w:t>分级管控落地过程中强化林长制网格化管护，依托各级林长责任体系，把不同等级林地的管控要求传导至乡镇、村组。建设项目占用林地审查环节，将林地保护等级作为前置审查要件，严格执行分级准入；同时兼顾全省重大基础设施、民生项目合理用地诉求，坚持严管控与保发展统筹平衡，做到管控有力度、政策有弹性。</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424"/>
        <w:gridCol w:w="6122"/>
      </w:tblGrid>
      <w:tr w14:paraId="7D61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8546" w:type="dxa"/>
            <w:gridSpan w:val="2"/>
            <w:noWrap w:val="0"/>
            <w:tcMar>
              <w:top w:w="120" w:type="dxa"/>
              <w:left w:w="120" w:type="dxa"/>
              <w:bottom w:w="120" w:type="dxa"/>
              <w:right w:w="120" w:type="dxa"/>
            </w:tcMar>
            <w:vAlign w:val="center"/>
          </w:tcPr>
          <w:p w14:paraId="06A0805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rPr>
              <w:t>专栏</w:t>
            </w:r>
            <w:r>
              <w:rPr>
                <w:rFonts w:hint="eastAsia" w:ascii="Times New Roman" w:hAnsi="Times New Roman" w:eastAsia="黑体"/>
                <w:sz w:val="28"/>
                <w:szCs w:val="28"/>
                <w:lang w:val="en-US" w:eastAsia="zh-CN"/>
              </w:rPr>
              <w:t xml:space="preserve">7  </w:t>
            </w:r>
            <w:r>
              <w:rPr>
                <w:rFonts w:hint="eastAsia" w:ascii="Times New Roman" w:hAnsi="Times New Roman" w:eastAsia="黑体" w:cs="Times New Roman"/>
                <w:kern w:val="2"/>
                <w:sz w:val="28"/>
                <w:szCs w:val="28"/>
                <w:lang w:bidi="ar"/>
              </w:rPr>
              <w:t>实施</w:t>
            </w:r>
            <w:r>
              <w:rPr>
                <w:rFonts w:hint="eastAsia" w:ascii="Times New Roman" w:hAnsi="Times New Roman" w:eastAsia="黑体" w:cs="Times New Roman"/>
                <w:kern w:val="2"/>
                <w:sz w:val="28"/>
                <w:szCs w:val="28"/>
                <w:lang w:val="en-US" w:eastAsia="zh-CN" w:bidi="ar"/>
              </w:rPr>
              <w:t>林地分级管控</w:t>
            </w:r>
          </w:p>
        </w:tc>
      </w:tr>
      <w:tr w14:paraId="32FE0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2424" w:type="dxa"/>
            <w:noWrap w:val="0"/>
            <w:tcMar>
              <w:top w:w="120" w:type="dxa"/>
              <w:left w:w="120" w:type="dxa"/>
              <w:bottom w:w="120" w:type="dxa"/>
              <w:right w:w="120" w:type="dxa"/>
            </w:tcMar>
            <w:vAlign w:val="center"/>
          </w:tcPr>
          <w:p w14:paraId="1499DB9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lang w:val="en-US" w:eastAsia="zh-CN"/>
              </w:rPr>
              <w:t>管控级别</w:t>
            </w:r>
          </w:p>
        </w:tc>
        <w:tc>
          <w:tcPr>
            <w:tcW w:w="6122" w:type="dxa"/>
            <w:noWrap w:val="0"/>
            <w:tcMar>
              <w:top w:w="120" w:type="dxa"/>
              <w:left w:w="120" w:type="dxa"/>
              <w:bottom w:w="120" w:type="dxa"/>
              <w:right w:w="120" w:type="dxa"/>
            </w:tcMar>
            <w:vAlign w:val="center"/>
          </w:tcPr>
          <w:p w14:paraId="2CEA24B8">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lang w:val="en-US" w:eastAsia="zh-CN"/>
              </w:rPr>
              <w:t>管控措施</w:t>
            </w:r>
          </w:p>
        </w:tc>
      </w:tr>
      <w:tr w14:paraId="54EB9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2424" w:type="dxa"/>
            <w:noWrap w:val="0"/>
            <w:tcMar>
              <w:top w:w="120" w:type="dxa"/>
              <w:left w:w="120" w:type="dxa"/>
              <w:bottom w:w="120" w:type="dxa"/>
              <w:right w:w="120" w:type="dxa"/>
            </w:tcMar>
            <w:vAlign w:val="center"/>
          </w:tcPr>
          <w:p w14:paraId="32EB9F7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Ⅰ级保护林地</w:t>
            </w:r>
          </w:p>
        </w:tc>
        <w:tc>
          <w:tcPr>
            <w:tcW w:w="6122" w:type="dxa"/>
            <w:noWrap w:val="0"/>
            <w:tcMar>
              <w:top w:w="120" w:type="dxa"/>
              <w:left w:w="120" w:type="dxa"/>
              <w:bottom w:w="120" w:type="dxa"/>
              <w:right w:w="120" w:type="dxa"/>
            </w:tcMar>
            <w:vAlign w:val="center"/>
          </w:tcPr>
          <w:p w14:paraId="641FDBE6">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hint="eastAsia" w:ascii="Times New Roman" w:hAnsi="Times New Roman" w:eastAsia="方正仿宋_GBK" w:cs="Times New Roman"/>
                <w:sz w:val="28"/>
                <w:szCs w:val="28"/>
              </w:rPr>
              <w:t>对应自然保护地核心区等生态功能极关键区域，</w:t>
            </w:r>
            <w:r>
              <w:rPr>
                <w:rFonts w:ascii="Times New Roman" w:hAnsi="Times New Roman" w:eastAsia="方正仿宋_GBK" w:cs="Times New Roman"/>
                <w:sz w:val="28"/>
                <w:szCs w:val="28"/>
              </w:rPr>
              <w:t>以保护生物多样性、特有自然景观为主要目的</w:t>
            </w:r>
            <w:r>
              <w:rPr>
                <w:rFonts w:hint="eastAsia" w:ascii="Times New Roman" w:hAnsi="Times New Roman" w:eastAsia="方正仿宋_GBK" w:cs="Times New Roman"/>
                <w:sz w:val="28"/>
                <w:szCs w:val="28"/>
              </w:rPr>
              <w:t>，实行全面封禁保护</w:t>
            </w:r>
          </w:p>
        </w:tc>
      </w:tr>
      <w:tr w14:paraId="066F5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2424" w:type="dxa"/>
            <w:noWrap w:val="0"/>
            <w:tcMar>
              <w:top w:w="120" w:type="dxa"/>
              <w:left w:w="120" w:type="dxa"/>
              <w:bottom w:w="120" w:type="dxa"/>
              <w:right w:w="120" w:type="dxa"/>
            </w:tcMar>
            <w:vAlign w:val="center"/>
          </w:tcPr>
          <w:p w14:paraId="0CC2FCF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Ⅱ级保护林地</w:t>
            </w:r>
          </w:p>
        </w:tc>
        <w:tc>
          <w:tcPr>
            <w:tcW w:w="6122" w:type="dxa"/>
            <w:noWrap w:val="0"/>
            <w:tcMar>
              <w:top w:w="120" w:type="dxa"/>
              <w:left w:w="120" w:type="dxa"/>
              <w:bottom w:w="120" w:type="dxa"/>
              <w:right w:w="120" w:type="dxa"/>
            </w:tcMar>
            <w:vAlign w:val="center"/>
          </w:tcPr>
          <w:p w14:paraId="009CFCCA">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hint="eastAsia" w:ascii="Times New Roman" w:hAnsi="Times New Roman" w:eastAsia="方正仿宋_GBK" w:cs="Times New Roman"/>
                <w:sz w:val="28"/>
                <w:szCs w:val="28"/>
              </w:rPr>
              <w:t>主要涵盖生态保护红线内林地及其他国家级公益林，</w:t>
            </w:r>
            <w:r>
              <w:rPr>
                <w:rFonts w:ascii="Times New Roman" w:hAnsi="Times New Roman" w:eastAsia="方正仿宋_GBK" w:cs="Times New Roman"/>
                <w:sz w:val="28"/>
                <w:szCs w:val="28"/>
              </w:rPr>
              <w:t>以生态修复、生态治理、构建生态屏障为主要目的</w:t>
            </w:r>
            <w:r>
              <w:rPr>
                <w:rFonts w:hint="eastAsia" w:ascii="Times New Roman" w:hAnsi="Times New Roman" w:eastAsia="方正仿宋_GBK" w:cs="Times New Roman"/>
                <w:sz w:val="28"/>
                <w:szCs w:val="28"/>
              </w:rPr>
              <w:t>，实施严格保护并限制经营利用</w:t>
            </w:r>
          </w:p>
        </w:tc>
      </w:tr>
      <w:tr w14:paraId="77700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2424" w:type="dxa"/>
            <w:noWrap w:val="0"/>
            <w:tcMar>
              <w:top w:w="120" w:type="dxa"/>
              <w:left w:w="120" w:type="dxa"/>
              <w:bottom w:w="120" w:type="dxa"/>
              <w:right w:w="120" w:type="dxa"/>
            </w:tcMar>
            <w:vAlign w:val="center"/>
          </w:tcPr>
          <w:p w14:paraId="3AEFC51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Ⅲ级保护林地</w:t>
            </w:r>
          </w:p>
        </w:tc>
        <w:tc>
          <w:tcPr>
            <w:tcW w:w="6122" w:type="dxa"/>
            <w:noWrap w:val="0"/>
            <w:tcMar>
              <w:top w:w="120" w:type="dxa"/>
              <w:left w:w="120" w:type="dxa"/>
              <w:bottom w:w="120" w:type="dxa"/>
              <w:right w:w="120" w:type="dxa"/>
            </w:tcMar>
            <w:vAlign w:val="center"/>
          </w:tcPr>
          <w:p w14:paraId="715AAA42">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hint="eastAsia" w:ascii="Times New Roman" w:hAnsi="Times New Roman" w:eastAsia="方正仿宋_GBK" w:cs="Times New Roman"/>
                <w:sz w:val="28"/>
                <w:szCs w:val="28"/>
              </w:rPr>
              <w:t>Ⅰ 级、Ⅱ 级外公益林地、天然林林地，以及重点商品林地，实行集约经营、合理利用，作为</w:t>
            </w:r>
            <w:r>
              <w:rPr>
                <w:rFonts w:ascii="Times New Roman" w:hAnsi="Times New Roman" w:eastAsia="方正仿宋_GBK" w:cs="Times New Roman"/>
                <w:sz w:val="28"/>
                <w:szCs w:val="28"/>
              </w:rPr>
              <w:t>维护区域生态平衡和保障主要林产品生产基地建设的区域</w:t>
            </w:r>
          </w:p>
        </w:tc>
      </w:tr>
      <w:tr w14:paraId="1ECC6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2424" w:type="dxa"/>
            <w:noWrap w:val="0"/>
            <w:tcMar>
              <w:top w:w="120" w:type="dxa"/>
              <w:left w:w="120" w:type="dxa"/>
              <w:bottom w:w="120" w:type="dxa"/>
              <w:right w:w="120" w:type="dxa"/>
            </w:tcMar>
            <w:vAlign w:val="center"/>
          </w:tcPr>
          <w:p w14:paraId="067BCDD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kern w:val="2"/>
                <w:sz w:val="28"/>
                <w:szCs w:val="28"/>
                <w:lang w:val="en-US" w:eastAsia="zh-CN" w:bidi="ar-SA"/>
              </w:rPr>
            </w:pPr>
            <w:r>
              <w:rPr>
                <w:rFonts w:ascii="方正楷体_GBK" w:hAnsi="方正楷体_GBK" w:eastAsia="方正楷体_GBK" w:cs="方正楷体_GBK"/>
                <w:sz w:val="28"/>
                <w:szCs w:val="28"/>
              </w:rPr>
              <w:t>Ⅳ级保护林地</w:t>
            </w:r>
          </w:p>
        </w:tc>
        <w:tc>
          <w:tcPr>
            <w:tcW w:w="6122" w:type="dxa"/>
            <w:noWrap w:val="0"/>
            <w:tcMar>
              <w:top w:w="120" w:type="dxa"/>
              <w:left w:w="120" w:type="dxa"/>
              <w:bottom w:w="120" w:type="dxa"/>
              <w:right w:w="120" w:type="dxa"/>
            </w:tcMar>
            <w:vAlign w:val="center"/>
          </w:tcPr>
          <w:p w14:paraId="18B96F2C">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cs="Times New Roman"/>
                <w:kern w:val="2"/>
                <w:sz w:val="28"/>
                <w:szCs w:val="28"/>
                <w:lang w:val="en-US" w:eastAsia="zh-CN" w:bidi="ar-SA"/>
              </w:rPr>
            </w:pPr>
            <w:r>
              <w:rPr>
                <w:rFonts w:hint="eastAsia" w:ascii="Times New Roman" w:hAnsi="Times New Roman" w:eastAsia="方正仿宋_GBK" w:cs="Times New Roman"/>
                <w:sz w:val="28"/>
                <w:szCs w:val="28"/>
              </w:rPr>
              <w:t>未纳入 Ⅰ 级、Ⅱ 级、Ⅲ 级保护范围的各类林地，保障主要林产品供给，充分挖掘林地生产力，</w:t>
            </w:r>
            <w:r>
              <w:rPr>
                <w:rFonts w:ascii="Times New Roman" w:hAnsi="Times New Roman" w:eastAsia="方正仿宋_GBK" w:cs="Times New Roman"/>
                <w:sz w:val="28"/>
                <w:szCs w:val="28"/>
              </w:rPr>
              <w:t>需予以保护并引导合理、适度利用的区域</w:t>
            </w:r>
          </w:p>
        </w:tc>
      </w:tr>
    </w:tbl>
    <w:p w14:paraId="49B062F7">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Style w:val="9"/>
          <w:rFonts w:hint="eastAsia" w:ascii="方正楷体_GBK" w:hAnsi="方正楷体_GBK" w:eastAsia="方正楷体_GBK" w:cs="方正楷体_GBK"/>
          <w:kern w:val="0"/>
          <w:sz w:val="32"/>
          <w:szCs w:val="32"/>
          <w:lang w:bidi="ar"/>
        </w:rPr>
      </w:pPr>
      <w:r>
        <w:rPr>
          <w:rStyle w:val="9"/>
          <w:rFonts w:hint="eastAsia" w:ascii="方正楷体_GBK" w:hAnsi="方正楷体_GBK" w:eastAsia="方正楷体_GBK" w:cs="方正楷体_GBK"/>
          <w:kern w:val="0"/>
          <w:sz w:val="32"/>
          <w:szCs w:val="32"/>
          <w:lang w:bidi="ar"/>
        </w:rPr>
        <w:t>（</w:t>
      </w:r>
      <w:r>
        <w:rPr>
          <w:rStyle w:val="9"/>
          <w:rFonts w:hint="eastAsia" w:ascii="方正楷体_GBK" w:hAnsi="方正楷体_GBK" w:eastAsia="方正楷体_GBK" w:cs="方正楷体_GBK"/>
          <w:kern w:val="0"/>
          <w:sz w:val="32"/>
          <w:szCs w:val="32"/>
          <w:lang w:val="en-US" w:eastAsia="zh-CN" w:bidi="ar"/>
        </w:rPr>
        <w:t>九</w:t>
      </w:r>
      <w:r>
        <w:rPr>
          <w:rStyle w:val="9"/>
          <w:rFonts w:hint="eastAsia" w:ascii="方正楷体_GBK" w:hAnsi="方正楷体_GBK" w:eastAsia="方正楷体_GBK" w:cs="方正楷体_GBK"/>
          <w:kern w:val="0"/>
          <w:sz w:val="32"/>
          <w:szCs w:val="32"/>
          <w:lang w:bidi="ar"/>
        </w:rPr>
        <w:t>）推进绿化提质改造增强生态服务效能</w:t>
      </w:r>
    </w:p>
    <w:p w14:paraId="3635205A">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方正仿宋_GBK"/>
          <w:sz w:val="32"/>
          <w:szCs w:val="32"/>
        </w:rPr>
      </w:pPr>
      <w:r>
        <w:rPr>
          <w:rFonts w:hint="eastAsia" w:ascii="方正楷体_GBK" w:hAnsi="方正楷体_GBK" w:eastAsia="方正楷体_GBK" w:cs="方正楷体_GBK"/>
          <w:sz w:val="32"/>
          <w:szCs w:val="32"/>
        </w:rPr>
        <w:t>科学开展国土绿化提升行动</w:t>
      </w:r>
      <w:r>
        <w:rPr>
          <w:rFonts w:hint="eastAsia" w:ascii="方正楷体_GBK" w:hAnsi="方正楷体_GBK" w:eastAsia="方正楷体_GBK" w:cs="方正楷体_GBK"/>
          <w:sz w:val="32"/>
          <w:szCs w:val="32"/>
          <w:lang w:eastAsia="zh-CN"/>
        </w:rPr>
        <w:t>。</w:t>
      </w:r>
      <w:r>
        <w:rPr>
          <w:rFonts w:ascii="Times New Roman" w:hAnsi="Times New Roman" w:eastAsia="方正仿宋_GBK"/>
          <w:sz w:val="32"/>
          <w:szCs w:val="32"/>
        </w:rPr>
        <w:t>分区实施国土绿化各类重点项目，优先选用适应性强的乡土树种。统筹考虑后期抚育管护成本，</w:t>
      </w:r>
      <w:r>
        <w:rPr>
          <w:rFonts w:hint="eastAsia" w:ascii="Times New Roman" w:hAnsi="Times New Roman" w:eastAsia="方正仿宋_GBK"/>
          <w:sz w:val="32"/>
          <w:szCs w:val="32"/>
        </w:rPr>
        <w:t>合理确定造林密度和苗木规格</w:t>
      </w:r>
      <w:r>
        <w:rPr>
          <w:rFonts w:ascii="Times New Roman" w:hAnsi="Times New Roman" w:eastAsia="方正仿宋_GBK"/>
          <w:sz w:val="32"/>
          <w:szCs w:val="32"/>
        </w:rPr>
        <w:t>。</w:t>
      </w:r>
      <w:bookmarkStart w:id="2" w:name="OLE_LINK3"/>
      <w:bookmarkStart w:id="3" w:name="OLE_LINK4"/>
      <w:r>
        <w:rPr>
          <w:rFonts w:hint="eastAsia" w:ascii="Times New Roman" w:hAnsi="Times New Roman" w:eastAsia="方正仿宋_GBK"/>
          <w:sz w:val="32"/>
          <w:szCs w:val="32"/>
        </w:rPr>
        <w:t>以退化林修复和低质低效林改造为抓手，对退化、低质低效林分实施抚育间伐、补植改造，优化林分结构，增强森林水源涵养、固碳释氧、防护等综合生态服务功能，巩固我省生态屏障建设成果。</w:t>
      </w:r>
      <w:bookmarkEnd w:id="2"/>
      <w:bookmarkEnd w:id="3"/>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443"/>
        <w:gridCol w:w="7103"/>
      </w:tblGrid>
      <w:tr w14:paraId="7ACA3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5000" w:type="pct"/>
            <w:gridSpan w:val="2"/>
            <w:noWrap w:val="0"/>
            <w:tcMar>
              <w:top w:w="120" w:type="dxa"/>
              <w:left w:w="120" w:type="dxa"/>
              <w:bottom w:w="120" w:type="dxa"/>
              <w:right w:w="120" w:type="dxa"/>
            </w:tcMar>
            <w:vAlign w:val="center"/>
          </w:tcPr>
          <w:p w14:paraId="612C219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rPr>
              <w:t>专栏</w:t>
            </w:r>
            <w:r>
              <w:rPr>
                <w:rFonts w:hint="eastAsia" w:ascii="Times New Roman" w:hAnsi="Times New Roman" w:eastAsia="黑体"/>
                <w:sz w:val="28"/>
                <w:szCs w:val="28"/>
                <w:lang w:val="en-US" w:eastAsia="zh-CN"/>
              </w:rPr>
              <w:t xml:space="preserve">8  </w:t>
            </w:r>
            <w:r>
              <w:rPr>
                <w:rFonts w:hint="eastAsia" w:ascii="Times New Roman" w:hAnsi="Times New Roman" w:eastAsia="黑体"/>
                <w:sz w:val="28"/>
                <w:szCs w:val="28"/>
              </w:rPr>
              <w:t>国土绿化提升改造重点工程</w:t>
            </w:r>
          </w:p>
        </w:tc>
      </w:tr>
      <w:tr w14:paraId="3F6D3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844" w:type="pct"/>
            <w:noWrap w:val="0"/>
            <w:tcMar>
              <w:top w:w="120" w:type="dxa"/>
              <w:left w:w="120" w:type="dxa"/>
              <w:bottom w:w="120" w:type="dxa"/>
              <w:right w:w="120" w:type="dxa"/>
            </w:tcMar>
            <w:vAlign w:val="center"/>
          </w:tcPr>
          <w:p w14:paraId="00F4809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rPr>
              <w:t>工程类型</w:t>
            </w:r>
          </w:p>
        </w:tc>
        <w:tc>
          <w:tcPr>
            <w:tcW w:w="4155" w:type="pct"/>
            <w:noWrap w:val="0"/>
            <w:tcMar>
              <w:top w:w="120" w:type="dxa"/>
              <w:left w:w="120" w:type="dxa"/>
              <w:bottom w:w="120" w:type="dxa"/>
              <w:right w:w="120" w:type="dxa"/>
            </w:tcMar>
            <w:vAlign w:val="center"/>
          </w:tcPr>
          <w:p w14:paraId="06EA568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rPr>
              <w:t>建设内容</w:t>
            </w:r>
          </w:p>
        </w:tc>
      </w:tr>
      <w:tr w14:paraId="1F679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844" w:type="pct"/>
            <w:noWrap w:val="0"/>
            <w:tcMar>
              <w:top w:w="120" w:type="dxa"/>
              <w:left w:w="120" w:type="dxa"/>
              <w:bottom w:w="120" w:type="dxa"/>
              <w:right w:w="120" w:type="dxa"/>
            </w:tcMar>
            <w:vAlign w:val="center"/>
          </w:tcPr>
          <w:p w14:paraId="251A490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国土绿化示范</w:t>
            </w:r>
          </w:p>
        </w:tc>
        <w:tc>
          <w:tcPr>
            <w:tcW w:w="4155" w:type="pct"/>
            <w:noWrap w:val="0"/>
            <w:tcMar>
              <w:top w:w="120" w:type="dxa"/>
              <w:left w:w="120" w:type="dxa"/>
              <w:bottom w:w="120" w:type="dxa"/>
              <w:right w:w="120" w:type="dxa"/>
            </w:tcMar>
            <w:vAlign w:val="center"/>
          </w:tcPr>
          <w:p w14:paraId="7884B22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sz w:val="28"/>
                <w:szCs w:val="28"/>
                <w:lang w:eastAsia="zh-CN"/>
              </w:rPr>
            </w:pPr>
            <w:bookmarkStart w:id="4" w:name="OLE_LINK5"/>
            <w:r>
              <w:rPr>
                <w:rFonts w:hint="eastAsia" w:ascii="Times New Roman" w:hAnsi="Times New Roman" w:eastAsia="方正仿宋_GBK"/>
                <w:sz w:val="28"/>
                <w:szCs w:val="28"/>
              </w:rPr>
              <w:t>芜湖、宿州、淮北实施国土绿化项目，皖西、皖南山区实施中央预算内投资重点区域水土保持与生态修复项目，持续提升区域林草植被覆盖度，增强水源涵养、夯实绿色发展基础。</w:t>
            </w:r>
            <w:bookmarkEnd w:id="4"/>
          </w:p>
        </w:tc>
      </w:tr>
      <w:tr w14:paraId="1A49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844" w:type="pct"/>
            <w:noWrap w:val="0"/>
            <w:tcMar>
              <w:top w:w="120" w:type="dxa"/>
              <w:left w:w="120" w:type="dxa"/>
              <w:bottom w:w="120" w:type="dxa"/>
              <w:right w:w="120" w:type="dxa"/>
            </w:tcMar>
            <w:vAlign w:val="center"/>
          </w:tcPr>
          <w:p w14:paraId="1D2506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森林质量提升</w:t>
            </w:r>
          </w:p>
        </w:tc>
        <w:tc>
          <w:tcPr>
            <w:tcW w:w="4155" w:type="pct"/>
            <w:noWrap w:val="0"/>
            <w:tcMar>
              <w:top w:w="120" w:type="dxa"/>
              <w:left w:w="120" w:type="dxa"/>
              <w:bottom w:w="120" w:type="dxa"/>
              <w:right w:w="120" w:type="dxa"/>
            </w:tcMar>
            <w:vAlign w:val="center"/>
          </w:tcPr>
          <w:p w14:paraId="00CED27C">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皖北石质山提质</w:t>
            </w:r>
            <w:r>
              <w:rPr>
                <w:rFonts w:hint="eastAsia" w:ascii="Times New Roman" w:hAnsi="Times New Roman" w:eastAsia="方正仿宋_GBK"/>
                <w:sz w:val="28"/>
                <w:szCs w:val="28"/>
              </w:rPr>
              <w:t>，</w:t>
            </w:r>
            <w:r>
              <w:rPr>
                <w:rFonts w:ascii="Times New Roman" w:hAnsi="Times New Roman" w:eastAsia="方正仿宋_GBK"/>
                <w:sz w:val="28"/>
                <w:szCs w:val="28"/>
              </w:rPr>
              <w:t>江淮丘陵用材林培优</w:t>
            </w:r>
            <w:r>
              <w:rPr>
                <w:rFonts w:hint="eastAsia" w:ascii="Times New Roman" w:hAnsi="Times New Roman" w:eastAsia="方正仿宋_GBK"/>
                <w:sz w:val="28"/>
                <w:szCs w:val="28"/>
              </w:rPr>
              <w:t>，</w:t>
            </w:r>
            <w:r>
              <w:rPr>
                <w:rFonts w:ascii="Times New Roman" w:hAnsi="Times New Roman" w:eastAsia="方正仿宋_GBK"/>
                <w:sz w:val="28"/>
                <w:szCs w:val="28"/>
              </w:rPr>
              <w:t>沿江平原防护林增效</w:t>
            </w:r>
            <w:r>
              <w:rPr>
                <w:rFonts w:hint="eastAsia" w:ascii="Times New Roman" w:hAnsi="Times New Roman" w:eastAsia="方正仿宋_GBK"/>
                <w:sz w:val="28"/>
                <w:szCs w:val="28"/>
              </w:rPr>
              <w:t>，</w:t>
            </w:r>
            <w:r>
              <w:rPr>
                <w:rFonts w:ascii="Times New Roman" w:hAnsi="Times New Roman" w:eastAsia="方正仿宋_GBK"/>
                <w:sz w:val="28"/>
                <w:szCs w:val="28"/>
              </w:rPr>
              <w:t>皖西皖南山区推进林相提升，培育珍贵阔叶混交林，提质油茶等木本油料林</w:t>
            </w:r>
            <w:r>
              <w:rPr>
                <w:rFonts w:hint="eastAsia" w:ascii="Times New Roman" w:hAnsi="Times New Roman" w:eastAsia="方正仿宋_GBK"/>
                <w:sz w:val="28"/>
                <w:szCs w:val="28"/>
              </w:rPr>
              <w:t>。</w:t>
            </w:r>
          </w:p>
        </w:tc>
      </w:tr>
      <w:tr w14:paraId="7D54E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844" w:type="pct"/>
            <w:noWrap w:val="0"/>
            <w:tcMar>
              <w:top w:w="120" w:type="dxa"/>
              <w:left w:w="120" w:type="dxa"/>
              <w:bottom w:w="120" w:type="dxa"/>
              <w:right w:w="120" w:type="dxa"/>
            </w:tcMar>
            <w:vAlign w:val="center"/>
          </w:tcPr>
          <w:p w14:paraId="51016AB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彩色森林建设</w:t>
            </w:r>
          </w:p>
        </w:tc>
        <w:tc>
          <w:tcPr>
            <w:tcW w:w="4155" w:type="pct"/>
            <w:noWrap w:val="0"/>
            <w:tcMar>
              <w:top w:w="120" w:type="dxa"/>
              <w:left w:w="120" w:type="dxa"/>
              <w:bottom w:w="120" w:type="dxa"/>
              <w:right w:w="120" w:type="dxa"/>
            </w:tcMar>
            <w:vAlign w:val="center"/>
          </w:tcPr>
          <w:p w14:paraId="6AE4252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sz w:val="28"/>
                <w:szCs w:val="28"/>
              </w:rPr>
            </w:pPr>
            <w:r>
              <w:rPr>
                <w:rFonts w:hint="eastAsia" w:ascii="Times New Roman" w:hAnsi="Times New Roman" w:eastAsia="方正仿宋_GBK"/>
                <w:sz w:val="28"/>
                <w:szCs w:val="28"/>
              </w:rPr>
              <w:t>全省彩色森林建设因地制宜、分区施策，优先选用乡土彩色树种，运用改培提质、补植增彩等措施，加快形成点上有风韵、线上有风光、面上有风景的彩色森林景观体系。</w:t>
            </w:r>
          </w:p>
        </w:tc>
      </w:tr>
      <w:tr w14:paraId="1F7A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844" w:type="pct"/>
            <w:noWrap w:val="0"/>
            <w:tcMar>
              <w:top w:w="120" w:type="dxa"/>
              <w:left w:w="120" w:type="dxa"/>
              <w:bottom w:w="120" w:type="dxa"/>
              <w:right w:w="120" w:type="dxa"/>
            </w:tcMar>
            <w:vAlign w:val="center"/>
          </w:tcPr>
          <w:p w14:paraId="79E0356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皖北杨树更新专项</w:t>
            </w:r>
          </w:p>
        </w:tc>
        <w:tc>
          <w:tcPr>
            <w:tcW w:w="4155" w:type="pct"/>
            <w:noWrap w:val="0"/>
            <w:tcMar>
              <w:top w:w="120" w:type="dxa"/>
              <w:left w:w="120" w:type="dxa"/>
              <w:bottom w:w="120" w:type="dxa"/>
              <w:right w:w="120" w:type="dxa"/>
            </w:tcMar>
            <w:vAlign w:val="center"/>
          </w:tcPr>
          <w:p w14:paraId="73D0709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方正仿宋_GBK"/>
                <w:sz w:val="28"/>
                <w:szCs w:val="28"/>
              </w:rPr>
            </w:pPr>
            <w:r>
              <w:rPr>
                <w:rFonts w:hint="eastAsia" w:ascii="Times New Roman" w:hAnsi="Times New Roman" w:eastAsia="方正仿宋_GBK"/>
                <w:sz w:val="28"/>
                <w:szCs w:val="28"/>
              </w:rPr>
              <w:t>立足皖北六市（蚌埠市、淮南市、淮北市、阜阳市、宿州市、亳州市）生态保障与民生改善需求，科学有序推进杨树更新治理。对森林质量不高、杨树成过熟林以及受杨絮影响严重的城镇村居住区杨树林开展更新治理。</w:t>
            </w:r>
          </w:p>
        </w:tc>
      </w:tr>
    </w:tbl>
    <w:p w14:paraId="2D7A3495">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六、盘活造林后备空间，保障林地占补平衡</w:t>
      </w:r>
    </w:p>
    <w:p w14:paraId="747B2416">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Style w:val="9"/>
          <w:rFonts w:hint="eastAsia" w:ascii="方正楷体_GBK" w:hAnsi="方正楷体_GBK" w:eastAsia="方正楷体_GBK" w:cs="方正楷体_GBK"/>
          <w:kern w:val="0"/>
          <w:sz w:val="32"/>
          <w:szCs w:val="32"/>
          <w:lang w:bidi="ar"/>
        </w:rPr>
      </w:pPr>
      <w:r>
        <w:rPr>
          <w:rStyle w:val="9"/>
          <w:rFonts w:hint="eastAsia" w:ascii="方正楷体_GBK" w:hAnsi="方正楷体_GBK" w:eastAsia="方正楷体_GBK" w:cs="方正楷体_GBK"/>
          <w:kern w:val="0"/>
          <w:sz w:val="32"/>
          <w:szCs w:val="32"/>
          <w:lang w:bidi="ar"/>
        </w:rPr>
        <w:t>（十）深挖林草补充潜力拓展生态绿化空间</w:t>
      </w:r>
    </w:p>
    <w:p w14:paraId="6B3CE7D5">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方正仿宋_GBK"/>
          <w:sz w:val="32"/>
          <w:szCs w:val="32"/>
        </w:rPr>
      </w:pPr>
      <w:r>
        <w:rPr>
          <w:rFonts w:hint="eastAsia" w:ascii="方正楷体_GBK" w:hAnsi="方正楷体_GBK" w:eastAsia="方正楷体_GBK" w:cs="方正楷体_GBK"/>
          <w:sz w:val="32"/>
          <w:szCs w:val="32"/>
          <w:lang w:val="en-US" w:eastAsia="zh-CN"/>
        </w:rPr>
        <w:t>统筹划定林草补充空间。</w:t>
      </w:r>
      <w:r>
        <w:rPr>
          <w:rFonts w:ascii="Times New Roman" w:hAnsi="Times New Roman" w:eastAsia="方正仿宋_GBK"/>
          <w:sz w:val="32"/>
          <w:szCs w:val="32"/>
        </w:rPr>
        <w:t>坚守</w:t>
      </w:r>
      <w:r>
        <w:rPr>
          <w:rFonts w:hint="eastAsia" w:ascii="Times New Roman" w:hAnsi="Times New Roman" w:eastAsia="方正仿宋_GBK"/>
          <w:sz w:val="32"/>
          <w:szCs w:val="32"/>
        </w:rPr>
        <w:t>“</w:t>
      </w:r>
      <w:r>
        <w:rPr>
          <w:rFonts w:ascii="Times New Roman" w:hAnsi="Times New Roman" w:eastAsia="方正仿宋_GBK"/>
          <w:sz w:val="32"/>
          <w:szCs w:val="32"/>
        </w:rPr>
        <w:t>宜林则林</w:t>
      </w:r>
      <w:r>
        <w:rPr>
          <w:rFonts w:hint="eastAsia" w:ascii="Times New Roman" w:hAnsi="Times New Roman" w:eastAsia="方正仿宋_GBK"/>
          <w:sz w:val="32"/>
          <w:szCs w:val="32"/>
        </w:rPr>
        <w:t>”</w:t>
      </w:r>
      <w:r>
        <w:rPr>
          <w:rFonts w:ascii="Times New Roman" w:hAnsi="Times New Roman" w:eastAsia="方正仿宋_GBK"/>
          <w:sz w:val="32"/>
          <w:szCs w:val="32"/>
        </w:rPr>
        <w:t>，在</w:t>
      </w:r>
      <w:r>
        <w:rPr>
          <w:rFonts w:hint="eastAsia" w:ascii="Times New Roman" w:hAnsi="Times New Roman" w:eastAsia="方正仿宋_GBK"/>
          <w:sz w:val="32"/>
          <w:szCs w:val="32"/>
        </w:rPr>
        <w:t>“</w:t>
      </w:r>
      <w:r>
        <w:rPr>
          <w:rFonts w:ascii="Times New Roman" w:hAnsi="Times New Roman" w:eastAsia="方正仿宋_GBK"/>
          <w:sz w:val="32"/>
          <w:szCs w:val="32"/>
        </w:rPr>
        <w:t>三区三线</w:t>
      </w:r>
      <w:r>
        <w:rPr>
          <w:rFonts w:hint="eastAsia" w:ascii="Times New Roman" w:hAnsi="Times New Roman" w:eastAsia="方正仿宋_GBK"/>
          <w:sz w:val="32"/>
          <w:szCs w:val="32"/>
        </w:rPr>
        <w:t>”</w:t>
      </w:r>
      <w:r>
        <w:rPr>
          <w:rFonts w:ascii="Times New Roman" w:hAnsi="Times New Roman" w:eastAsia="方正仿宋_GBK"/>
          <w:sz w:val="32"/>
          <w:szCs w:val="32"/>
        </w:rPr>
        <w:t>稳定前提下，将适宜种</w:t>
      </w:r>
      <w:r>
        <w:rPr>
          <w:rFonts w:hint="eastAsia" w:ascii="Times New Roman" w:hAnsi="Times New Roman" w:eastAsia="方正仿宋_GBK"/>
          <w:sz w:val="32"/>
          <w:szCs w:val="32"/>
        </w:rPr>
        <w:t>树</w:t>
      </w:r>
      <w:r>
        <w:rPr>
          <w:rFonts w:ascii="Times New Roman" w:hAnsi="Times New Roman" w:eastAsia="方正仿宋_GBK"/>
          <w:sz w:val="32"/>
          <w:szCs w:val="32"/>
        </w:rPr>
        <w:t>种草的裸土地、园地、</w:t>
      </w:r>
      <w:r>
        <w:rPr>
          <w:rFonts w:hint="eastAsia" w:ascii="Times New Roman" w:hAnsi="Times New Roman" w:eastAsia="方正仿宋_GBK"/>
          <w:sz w:val="32"/>
          <w:szCs w:val="32"/>
        </w:rPr>
        <w:t>其他土地、</w:t>
      </w:r>
      <w:r>
        <w:rPr>
          <w:rFonts w:ascii="Times New Roman" w:hAnsi="Times New Roman" w:eastAsia="方正仿宋_GBK"/>
          <w:sz w:val="32"/>
          <w:szCs w:val="32"/>
        </w:rPr>
        <w:t>各类腾退地块纳入林草补充空间。立足历史建设占用林地数据，衔接未来各类建设项目用林需求，加强补充林地空间监管，严格落实林地占补平衡管理机制。</w:t>
      </w:r>
    </w:p>
    <w:p w14:paraId="5654E9FA">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Style w:val="9"/>
          <w:rFonts w:hint="eastAsia" w:ascii="方正楷体_GBK" w:hAnsi="方正楷体_GBK" w:eastAsia="方正楷体_GBK" w:cs="方正楷体_GBK"/>
          <w:kern w:val="0"/>
          <w:sz w:val="32"/>
          <w:szCs w:val="32"/>
          <w:lang w:bidi="ar"/>
        </w:rPr>
      </w:pPr>
      <w:r>
        <w:rPr>
          <w:rStyle w:val="9"/>
          <w:rFonts w:hint="eastAsia" w:ascii="方正楷体_GBK" w:hAnsi="方正楷体_GBK" w:eastAsia="方正楷体_GBK" w:cs="方正楷体_GBK"/>
          <w:kern w:val="0"/>
          <w:sz w:val="32"/>
          <w:szCs w:val="32"/>
          <w:lang w:bidi="ar"/>
        </w:rPr>
        <w:t>（十</w:t>
      </w:r>
      <w:r>
        <w:rPr>
          <w:rStyle w:val="9"/>
          <w:rFonts w:hint="eastAsia" w:ascii="方正楷体_GBK" w:hAnsi="方正楷体_GBK" w:eastAsia="方正楷体_GBK" w:cs="方正楷体_GBK"/>
          <w:kern w:val="0"/>
          <w:sz w:val="32"/>
          <w:szCs w:val="32"/>
          <w:lang w:val="en-US" w:eastAsia="zh-CN" w:bidi="ar"/>
        </w:rPr>
        <w:t>一</w:t>
      </w:r>
      <w:r>
        <w:rPr>
          <w:rStyle w:val="9"/>
          <w:rFonts w:hint="eastAsia" w:ascii="方正楷体_GBK" w:hAnsi="方正楷体_GBK" w:eastAsia="方正楷体_GBK" w:cs="方正楷体_GBK"/>
          <w:kern w:val="0"/>
          <w:sz w:val="32"/>
          <w:szCs w:val="32"/>
          <w:lang w:bidi="ar"/>
        </w:rPr>
        <w:t>）优化林地空间布局完善全域绿化体系</w:t>
      </w:r>
    </w:p>
    <w:p w14:paraId="5996114B">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方正楷体_GBK" w:hAnsi="方正楷体_GBK" w:eastAsia="方正楷体_GBK" w:cs="方正楷体_GBK"/>
          <w:sz w:val="32"/>
          <w:szCs w:val="32"/>
          <w:lang w:val="en-US" w:eastAsia="zh-CN"/>
        </w:rPr>
        <w:t>以补促优持续优化林地空间布局。</w:t>
      </w:r>
      <w:r>
        <w:rPr>
          <w:rFonts w:hint="eastAsia" w:ascii="Times New Roman" w:hAnsi="Times New Roman" w:eastAsia="方正仿宋_GBK" w:cs="Times New Roman"/>
          <w:sz w:val="32"/>
          <w:szCs w:val="32"/>
          <w:lang w:val="en-US" w:eastAsia="zh-CN"/>
        </w:rPr>
        <w:t>紧扣全域绿化体系建设要求，锚定林地保有量、森林覆盖率等约束指标，分区拓展林地补充空间，遵循因地制宜、多渠道挖掘绿化潜力，合理谋划林地补充空间，实现林地拓展与生态功能提质一体推进，形成布局有序、来源合规、区域协同的林地发展格局。</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542"/>
        <w:gridCol w:w="6004"/>
      </w:tblGrid>
      <w:tr w14:paraId="488EA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8546" w:type="dxa"/>
            <w:gridSpan w:val="2"/>
            <w:noWrap w:val="0"/>
            <w:tcMar>
              <w:top w:w="120" w:type="dxa"/>
              <w:left w:w="120" w:type="dxa"/>
              <w:bottom w:w="120" w:type="dxa"/>
              <w:right w:w="120" w:type="dxa"/>
            </w:tcMar>
            <w:vAlign w:val="center"/>
          </w:tcPr>
          <w:p w14:paraId="475943E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rPr>
              <w:t>专栏</w:t>
            </w:r>
            <w:r>
              <w:rPr>
                <w:rFonts w:hint="eastAsia" w:ascii="Times New Roman" w:hAnsi="Times New Roman" w:eastAsia="黑体"/>
                <w:sz w:val="28"/>
                <w:szCs w:val="28"/>
                <w:lang w:val="en-US" w:eastAsia="zh-CN"/>
              </w:rPr>
              <w:t xml:space="preserve">9  </w:t>
            </w:r>
            <w:r>
              <w:rPr>
                <w:rFonts w:hint="eastAsia" w:ascii="Times New Roman" w:hAnsi="Times New Roman" w:eastAsia="黑体" w:cs="Times New Roman"/>
                <w:kern w:val="2"/>
                <w:sz w:val="28"/>
                <w:szCs w:val="28"/>
                <w:lang w:val="en-US" w:eastAsia="zh-CN" w:bidi="ar"/>
              </w:rPr>
              <w:t>优化林地空间</w:t>
            </w:r>
            <w:r>
              <w:rPr>
                <w:rFonts w:hint="eastAsia" w:ascii="Times New Roman" w:hAnsi="Times New Roman" w:eastAsia="黑体" w:cs="Times New Roman"/>
                <w:kern w:val="2"/>
                <w:sz w:val="28"/>
                <w:szCs w:val="28"/>
                <w:lang w:bidi="ar"/>
              </w:rPr>
              <w:t>布局</w:t>
            </w:r>
          </w:p>
        </w:tc>
      </w:tr>
      <w:tr w14:paraId="4E52F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2542" w:type="dxa"/>
            <w:noWrap w:val="0"/>
            <w:tcMar>
              <w:top w:w="120" w:type="dxa"/>
              <w:left w:w="120" w:type="dxa"/>
              <w:bottom w:w="120" w:type="dxa"/>
              <w:right w:w="120" w:type="dxa"/>
            </w:tcMar>
            <w:vAlign w:val="center"/>
          </w:tcPr>
          <w:p w14:paraId="23DFB6C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lang w:val="en-US" w:eastAsia="zh-CN"/>
              </w:rPr>
              <w:t>布局分区</w:t>
            </w:r>
          </w:p>
        </w:tc>
        <w:tc>
          <w:tcPr>
            <w:tcW w:w="6004" w:type="dxa"/>
            <w:noWrap w:val="0"/>
            <w:tcMar>
              <w:top w:w="120" w:type="dxa"/>
              <w:left w:w="120" w:type="dxa"/>
              <w:bottom w:w="120" w:type="dxa"/>
              <w:right w:w="120" w:type="dxa"/>
            </w:tcMar>
            <w:vAlign w:val="center"/>
          </w:tcPr>
          <w:p w14:paraId="4BDB6C7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lang w:val="en-US" w:eastAsia="zh-CN"/>
              </w:rPr>
              <w:t>工程措施</w:t>
            </w:r>
          </w:p>
        </w:tc>
      </w:tr>
      <w:tr w14:paraId="31DBE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2542" w:type="dxa"/>
            <w:noWrap w:val="0"/>
            <w:tcMar>
              <w:top w:w="120" w:type="dxa"/>
              <w:left w:w="120" w:type="dxa"/>
              <w:bottom w:w="120" w:type="dxa"/>
              <w:right w:w="120" w:type="dxa"/>
            </w:tcMar>
            <w:vAlign w:val="center"/>
          </w:tcPr>
          <w:p w14:paraId="265BDF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淮北平原区</w:t>
            </w:r>
            <w:r>
              <w:rPr>
                <w:rFonts w:hint="eastAsia" w:ascii="方正楷体_GBK" w:hAnsi="方正楷体_GBK" w:eastAsia="方正楷体_GBK" w:cs="方正楷体_GBK"/>
                <w:sz w:val="28"/>
                <w:szCs w:val="28"/>
                <w:lang w:val="en-US" w:eastAsia="zh-CN"/>
              </w:rPr>
              <w:t xml:space="preserve"> </w:t>
            </w:r>
          </w:p>
        </w:tc>
        <w:tc>
          <w:tcPr>
            <w:tcW w:w="6004" w:type="dxa"/>
            <w:noWrap w:val="0"/>
            <w:tcMar>
              <w:top w:w="120" w:type="dxa"/>
              <w:left w:w="120" w:type="dxa"/>
              <w:bottom w:w="120" w:type="dxa"/>
              <w:right w:w="120" w:type="dxa"/>
            </w:tcMar>
            <w:vAlign w:val="center"/>
          </w:tcPr>
          <w:p w14:paraId="0552454D">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hint="eastAsia" w:ascii="Times New Roman" w:hAnsi="Times New Roman" w:eastAsia="方正仿宋_GBK" w:cs="Times New Roman"/>
                <w:sz w:val="28"/>
                <w:szCs w:val="28"/>
              </w:rPr>
              <w:t>修复破损农田林网，衔接田间水系林带，推进闲置地绿化</w:t>
            </w:r>
            <w:r>
              <w:rPr>
                <w:rFonts w:hint="eastAsia" w:ascii="Times New Roman" w:hAnsi="Times New Roman" w:eastAsia="方正仿宋_GBK" w:cs="Times New Roman"/>
                <w:sz w:val="28"/>
                <w:szCs w:val="28"/>
                <w:lang w:val="en-US" w:eastAsia="zh-CN"/>
              </w:rPr>
              <w:t>及</w:t>
            </w:r>
            <w:r>
              <w:rPr>
                <w:rFonts w:hint="eastAsia" w:ascii="Times New Roman" w:hAnsi="Times New Roman" w:eastAsia="方正仿宋_GBK" w:cs="Times New Roman"/>
                <w:sz w:val="28"/>
                <w:szCs w:val="28"/>
              </w:rPr>
              <w:t>村旁、宅旁、路旁</w:t>
            </w:r>
            <w:r>
              <w:rPr>
                <w:rFonts w:hint="eastAsia" w:ascii="Times New Roman" w:hAnsi="Times New Roman" w:eastAsia="方正仿宋_GBK" w:cs="Times New Roman"/>
                <w:sz w:val="28"/>
                <w:szCs w:val="28"/>
                <w:lang w:eastAsia="zh-CN"/>
              </w:rPr>
              <w:t>、</w:t>
            </w:r>
            <w:r>
              <w:rPr>
                <w:rFonts w:hint="eastAsia" w:ascii="Times New Roman" w:hAnsi="Times New Roman" w:eastAsia="方正仿宋_GBK" w:cs="Times New Roman"/>
                <w:sz w:val="28"/>
                <w:szCs w:val="28"/>
              </w:rPr>
              <w:t>水旁植树，拓展平原绿化空间</w:t>
            </w:r>
            <w:r>
              <w:rPr>
                <w:rFonts w:hint="eastAsia" w:ascii="Times New Roman" w:hAnsi="Times New Roman" w:eastAsia="方正仿宋_GBK" w:cs="Times New Roman"/>
                <w:sz w:val="28"/>
                <w:szCs w:val="28"/>
                <w:lang w:eastAsia="zh-CN"/>
              </w:rPr>
              <w:t>。</w:t>
            </w:r>
          </w:p>
        </w:tc>
      </w:tr>
      <w:tr w14:paraId="65E7C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2542" w:type="dxa"/>
            <w:noWrap w:val="0"/>
            <w:tcMar>
              <w:top w:w="120" w:type="dxa"/>
              <w:left w:w="120" w:type="dxa"/>
              <w:bottom w:w="120" w:type="dxa"/>
              <w:right w:w="120" w:type="dxa"/>
            </w:tcMar>
            <w:vAlign w:val="center"/>
          </w:tcPr>
          <w:p w14:paraId="72C95E7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江淮丘陵区</w:t>
            </w:r>
          </w:p>
        </w:tc>
        <w:tc>
          <w:tcPr>
            <w:tcW w:w="6004" w:type="dxa"/>
            <w:noWrap w:val="0"/>
            <w:tcMar>
              <w:top w:w="120" w:type="dxa"/>
              <w:left w:w="120" w:type="dxa"/>
              <w:bottom w:w="120" w:type="dxa"/>
              <w:right w:w="120" w:type="dxa"/>
            </w:tcMar>
            <w:vAlign w:val="center"/>
          </w:tcPr>
          <w:p w14:paraId="0901B8B2">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hint="eastAsia" w:ascii="Times New Roman" w:hAnsi="Times New Roman" w:eastAsia="方正仿宋_GBK" w:cs="Times New Roman"/>
                <w:sz w:val="28"/>
                <w:szCs w:val="28"/>
              </w:rPr>
              <w:t>挖掘岗冲地貌绿化潜力，开展丘陵生态修复、村庄增绿，提升水源涵养、水土保持能力</w:t>
            </w:r>
            <w:r>
              <w:rPr>
                <w:rFonts w:hint="eastAsia" w:ascii="Times New Roman" w:hAnsi="Times New Roman" w:eastAsia="方正仿宋_GBK" w:cs="Times New Roman"/>
                <w:sz w:val="28"/>
                <w:szCs w:val="28"/>
                <w:lang w:eastAsia="zh-CN"/>
              </w:rPr>
              <w:t>。</w:t>
            </w:r>
          </w:p>
        </w:tc>
      </w:tr>
      <w:tr w14:paraId="1BAB6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2542" w:type="dxa"/>
            <w:noWrap w:val="0"/>
            <w:tcMar>
              <w:top w:w="120" w:type="dxa"/>
              <w:left w:w="120" w:type="dxa"/>
              <w:bottom w:w="120" w:type="dxa"/>
              <w:right w:w="120" w:type="dxa"/>
            </w:tcMar>
            <w:vAlign w:val="center"/>
          </w:tcPr>
          <w:p w14:paraId="751F75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沿江平原区</w:t>
            </w:r>
          </w:p>
        </w:tc>
        <w:tc>
          <w:tcPr>
            <w:tcW w:w="6004" w:type="dxa"/>
            <w:noWrap w:val="0"/>
            <w:tcMar>
              <w:top w:w="120" w:type="dxa"/>
              <w:left w:w="120" w:type="dxa"/>
              <w:bottom w:w="120" w:type="dxa"/>
              <w:right w:w="120" w:type="dxa"/>
            </w:tcMar>
            <w:vAlign w:val="center"/>
          </w:tcPr>
          <w:p w14:paraId="511CDFF0">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hint="eastAsia" w:ascii="Times New Roman" w:hAnsi="Times New Roman" w:eastAsia="方正仿宋_GBK" w:cs="Times New Roman"/>
                <w:sz w:val="28"/>
                <w:szCs w:val="28"/>
              </w:rPr>
              <w:t>依托长江及支流脉络，在不侵占河湖管理范围前提下引导林地补充空间连片集聚布局</w:t>
            </w:r>
            <w:r>
              <w:rPr>
                <w:rFonts w:hint="eastAsia" w:ascii="Times New Roman" w:hAnsi="Times New Roman" w:eastAsia="方正仿宋_GBK" w:cs="Times New Roman"/>
                <w:sz w:val="28"/>
                <w:szCs w:val="28"/>
                <w:lang w:eastAsia="zh-CN"/>
              </w:rPr>
              <w:t>。</w:t>
            </w:r>
          </w:p>
        </w:tc>
      </w:tr>
      <w:tr w14:paraId="7871C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2542" w:type="dxa"/>
            <w:noWrap w:val="0"/>
            <w:tcMar>
              <w:top w:w="120" w:type="dxa"/>
              <w:left w:w="120" w:type="dxa"/>
              <w:bottom w:w="120" w:type="dxa"/>
              <w:right w:w="120" w:type="dxa"/>
            </w:tcMar>
            <w:vAlign w:val="center"/>
          </w:tcPr>
          <w:p w14:paraId="3DBF581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kern w:val="2"/>
                <w:sz w:val="28"/>
                <w:szCs w:val="28"/>
                <w:lang w:val="en-US" w:eastAsia="zh-CN" w:bidi="ar-SA"/>
              </w:rPr>
            </w:pPr>
            <w:r>
              <w:rPr>
                <w:rFonts w:ascii="方正楷体_GBK" w:hAnsi="方正楷体_GBK" w:eastAsia="方正楷体_GBK" w:cs="方正楷体_GBK"/>
                <w:sz w:val="28"/>
                <w:szCs w:val="28"/>
              </w:rPr>
              <w:t>皖西大别山区</w:t>
            </w:r>
          </w:p>
        </w:tc>
        <w:tc>
          <w:tcPr>
            <w:tcW w:w="6004" w:type="dxa"/>
            <w:noWrap w:val="0"/>
            <w:tcMar>
              <w:top w:w="120" w:type="dxa"/>
              <w:left w:w="120" w:type="dxa"/>
              <w:bottom w:w="120" w:type="dxa"/>
              <w:right w:w="120" w:type="dxa"/>
            </w:tcMar>
            <w:vAlign w:val="center"/>
          </w:tcPr>
          <w:p w14:paraId="44FAA8D9">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cs="Times New Roman"/>
                <w:kern w:val="2"/>
                <w:sz w:val="28"/>
                <w:szCs w:val="28"/>
                <w:lang w:val="en-US" w:eastAsia="zh-CN" w:bidi="ar-SA"/>
              </w:rPr>
            </w:pPr>
            <w:r>
              <w:rPr>
                <w:rFonts w:hint="eastAsia" w:ascii="Times New Roman" w:hAnsi="Times New Roman" w:eastAsia="方正仿宋_GBK" w:cs="Times New Roman"/>
                <w:sz w:val="28"/>
                <w:szCs w:val="28"/>
              </w:rPr>
              <w:t>利用腾退耕地、园地、草地恢复森林植被，提升水源涵养固土能力</w:t>
            </w:r>
            <w:r>
              <w:rPr>
                <w:rFonts w:hint="eastAsia" w:ascii="Times New Roman" w:hAnsi="Times New Roman" w:eastAsia="方正仿宋_GBK" w:cs="Times New Roman"/>
                <w:sz w:val="28"/>
                <w:szCs w:val="28"/>
                <w:lang w:eastAsia="zh-CN"/>
              </w:rPr>
              <w:t>。</w:t>
            </w:r>
          </w:p>
        </w:tc>
      </w:tr>
      <w:tr w14:paraId="6EBDA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2542" w:type="dxa"/>
            <w:noWrap w:val="0"/>
            <w:tcMar>
              <w:top w:w="120" w:type="dxa"/>
              <w:left w:w="120" w:type="dxa"/>
              <w:bottom w:w="120" w:type="dxa"/>
              <w:right w:w="120" w:type="dxa"/>
            </w:tcMar>
            <w:vAlign w:val="center"/>
          </w:tcPr>
          <w:p w14:paraId="19000C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楷体_GBK" w:hAnsi="方正楷体_GBK" w:eastAsia="方正楷体_GBK" w:cs="方正楷体_GBK"/>
                <w:kern w:val="2"/>
                <w:sz w:val="28"/>
                <w:szCs w:val="28"/>
                <w:lang w:val="en-US" w:eastAsia="zh-CN" w:bidi="ar-SA"/>
              </w:rPr>
            </w:pPr>
            <w:r>
              <w:rPr>
                <w:rFonts w:ascii="方正楷体_GBK" w:hAnsi="方正楷体_GBK" w:eastAsia="方正楷体_GBK" w:cs="方正楷体_GBK"/>
                <w:sz w:val="28"/>
                <w:szCs w:val="28"/>
              </w:rPr>
              <w:t>皖南山区</w:t>
            </w:r>
          </w:p>
        </w:tc>
        <w:tc>
          <w:tcPr>
            <w:tcW w:w="6004" w:type="dxa"/>
            <w:noWrap w:val="0"/>
            <w:tcMar>
              <w:top w:w="120" w:type="dxa"/>
              <w:left w:w="120" w:type="dxa"/>
              <w:bottom w:w="120" w:type="dxa"/>
              <w:right w:w="120" w:type="dxa"/>
            </w:tcMar>
            <w:vAlign w:val="center"/>
          </w:tcPr>
          <w:p w14:paraId="736A5EEB">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cs="Times New Roman"/>
                <w:kern w:val="2"/>
                <w:sz w:val="28"/>
                <w:szCs w:val="28"/>
                <w:lang w:val="en-US" w:eastAsia="zh-CN" w:bidi="ar-SA"/>
              </w:rPr>
            </w:pPr>
            <w:r>
              <w:rPr>
                <w:rFonts w:hint="eastAsia" w:ascii="Times New Roman" w:hAnsi="Times New Roman" w:eastAsia="方正仿宋_GBK" w:cs="Times New Roman"/>
                <w:sz w:val="28"/>
                <w:szCs w:val="28"/>
              </w:rPr>
              <w:t>盘活存量林地补充资源，开展抚育提质，治理石灰岩山地裸露，打造山水相融生态片区</w:t>
            </w:r>
            <w:r>
              <w:rPr>
                <w:rFonts w:hint="eastAsia" w:ascii="Times New Roman" w:hAnsi="Times New Roman" w:eastAsia="方正仿宋_GBK" w:cs="Times New Roman"/>
                <w:sz w:val="28"/>
                <w:szCs w:val="28"/>
                <w:lang w:eastAsia="zh-CN"/>
              </w:rPr>
              <w:t>。</w:t>
            </w:r>
          </w:p>
        </w:tc>
      </w:tr>
    </w:tbl>
    <w:p w14:paraId="1A86A073">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方正黑体_GBK" w:hAnsi="方正黑体_GBK" w:eastAsia="方正黑体_GBK" w:cs="方正黑体_GBK"/>
          <w:sz w:val="32"/>
          <w:szCs w:val="32"/>
          <w:lang w:val="en-US" w:eastAsia="zh-CN"/>
        </w:rPr>
      </w:pPr>
      <w:r>
        <w:rPr>
          <w:rFonts w:hint="default" w:ascii="方正黑体_GBK" w:hAnsi="方正黑体_GBK" w:eastAsia="方正黑体_GBK" w:cs="方正黑体_GBK"/>
          <w:sz w:val="32"/>
          <w:szCs w:val="32"/>
          <w:lang w:val="en-US" w:eastAsia="zh-CN"/>
        </w:rPr>
        <w:t>七、统筹规划实施时序</w:t>
      </w:r>
      <w:r>
        <w:rPr>
          <w:rFonts w:hint="eastAsia" w:ascii="方正黑体_GBK" w:hAnsi="方正黑体_GBK" w:eastAsia="方正黑体_GBK" w:cs="方正黑体_GBK"/>
          <w:sz w:val="32"/>
          <w:szCs w:val="32"/>
          <w:lang w:val="en-US" w:eastAsia="zh-CN"/>
        </w:rPr>
        <w:t>，落实规划目标任务</w:t>
      </w:r>
    </w:p>
    <w:p w14:paraId="7C0B51F0">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Style w:val="9"/>
          <w:rFonts w:hint="default" w:ascii="方正楷体_GBK" w:hAnsi="方正楷体_GBK" w:eastAsia="方正楷体_GBK" w:cs="方正楷体_GBK"/>
          <w:kern w:val="0"/>
          <w:sz w:val="32"/>
          <w:szCs w:val="32"/>
          <w:lang w:val="en-US" w:eastAsia="zh-CN" w:bidi="ar"/>
        </w:rPr>
      </w:pPr>
      <w:r>
        <w:rPr>
          <w:rStyle w:val="9"/>
          <w:rFonts w:hint="eastAsia" w:ascii="方正楷体_GBK" w:hAnsi="方正楷体_GBK" w:eastAsia="方正楷体_GBK" w:cs="方正楷体_GBK"/>
          <w:kern w:val="0"/>
          <w:sz w:val="32"/>
          <w:szCs w:val="32"/>
          <w:lang w:bidi="ar"/>
        </w:rPr>
        <w:t>（十</w:t>
      </w:r>
      <w:r>
        <w:rPr>
          <w:rStyle w:val="9"/>
          <w:rFonts w:hint="eastAsia" w:ascii="方正楷体_GBK" w:hAnsi="方正楷体_GBK" w:eastAsia="方正楷体_GBK" w:cs="方正楷体_GBK"/>
          <w:kern w:val="0"/>
          <w:sz w:val="32"/>
          <w:szCs w:val="32"/>
          <w:lang w:val="en-US" w:eastAsia="zh-CN" w:bidi="ar"/>
        </w:rPr>
        <w:t>二</w:t>
      </w:r>
      <w:r>
        <w:rPr>
          <w:rStyle w:val="9"/>
          <w:rFonts w:hint="eastAsia" w:ascii="方正楷体_GBK" w:hAnsi="方正楷体_GBK" w:eastAsia="方正楷体_GBK" w:cs="方正楷体_GBK"/>
          <w:kern w:val="0"/>
          <w:sz w:val="32"/>
          <w:szCs w:val="32"/>
          <w:lang w:bidi="ar"/>
        </w:rPr>
        <w:t>）</w:t>
      </w:r>
      <w:r>
        <w:rPr>
          <w:rStyle w:val="9"/>
          <w:rFonts w:hint="eastAsia" w:ascii="方正楷体_GBK" w:hAnsi="方正楷体_GBK" w:eastAsia="方正楷体_GBK" w:cs="方正楷体_GBK"/>
          <w:kern w:val="0"/>
          <w:sz w:val="32"/>
          <w:szCs w:val="32"/>
          <w:lang w:val="en-US" w:eastAsia="zh-CN" w:bidi="ar"/>
        </w:rPr>
        <w:t>全力以赴加快解决耕林空间矛盾</w:t>
      </w:r>
    </w:p>
    <w:p w14:paraId="330D58F7">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sz w:val="32"/>
          <w:szCs w:val="32"/>
          <w:lang w:val="en-US" w:eastAsia="zh-CN"/>
        </w:rPr>
      </w:pPr>
      <w:r>
        <w:rPr>
          <w:rFonts w:hint="eastAsia" w:ascii="Times New Roman" w:hAnsi="Times New Roman" w:eastAsia="方正仿宋_GBK"/>
          <w:sz w:val="32"/>
          <w:szCs w:val="32"/>
          <w:lang w:val="en-US" w:eastAsia="zh-CN"/>
        </w:rPr>
        <w:t>至2030年，按照四类空间划定和管控要求，对空间进行持续优化，逐步解决化解耕、林、农、水等相关冲突矛盾。实现稳定耕地净增加量持续增加，保障非农建设占用需要。逐步退出生态保护红线、河道湖区等范围内的不稳定耕地。有序实施全域土地综合整治，持续降低耕地碎化程度。加快高标准农田建设，持续提升永久基本农田中高标准农田建设比例。</w:t>
      </w:r>
      <w:r>
        <w:rPr>
          <w:rFonts w:ascii="Times New Roman" w:hAnsi="Times New Roman" w:eastAsia="方正仿宋_GBK"/>
          <w:sz w:val="32"/>
          <w:szCs w:val="32"/>
        </w:rPr>
        <w:t>优先实施腾退地块造林、未利用地绿化、农田林网补植、低效林改造，稳定林地保护空间。</w:t>
      </w:r>
      <w:r>
        <w:rPr>
          <w:rFonts w:hint="eastAsia" w:ascii="Times New Roman" w:hAnsi="Times New Roman" w:eastAsia="方正仿宋_GBK"/>
          <w:sz w:val="32"/>
          <w:szCs w:val="32"/>
        </w:rPr>
        <w:t>重点推进</w:t>
      </w:r>
      <w:r>
        <w:rPr>
          <w:rFonts w:ascii="Times New Roman" w:hAnsi="Times New Roman" w:eastAsia="方正仿宋_GBK"/>
          <w:sz w:val="32"/>
          <w:szCs w:val="32"/>
        </w:rPr>
        <w:t>石灰岩裸地、陡险丘岗、碎片化闲置地块</w:t>
      </w:r>
      <w:r>
        <w:rPr>
          <w:rFonts w:hint="eastAsia" w:ascii="Times New Roman" w:hAnsi="Times New Roman" w:eastAsia="方正仿宋_GBK"/>
          <w:sz w:val="32"/>
          <w:szCs w:val="32"/>
        </w:rPr>
        <w:t>的造林绿化</w:t>
      </w:r>
      <w:r>
        <w:rPr>
          <w:rFonts w:ascii="Times New Roman" w:hAnsi="Times New Roman" w:eastAsia="方正仿宋_GBK"/>
          <w:sz w:val="32"/>
          <w:szCs w:val="32"/>
        </w:rPr>
        <w:t>，将闲置空间转化为稳定林地。</w:t>
      </w:r>
      <w:r>
        <w:rPr>
          <w:rFonts w:hint="eastAsia" w:ascii="Times New Roman" w:hAnsi="Times New Roman" w:eastAsia="方正仿宋_GBK"/>
          <w:sz w:val="32"/>
          <w:szCs w:val="32"/>
          <w:lang w:val="en-US" w:eastAsia="zh-CN"/>
        </w:rPr>
        <w:t>初步建成耕林智慧监测监管系统，实现变化及时监测、业务一体办理、支持辅助决策等功能，有效提升治理能力水平。</w:t>
      </w:r>
    </w:p>
    <w:p w14:paraId="1AE7A186">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Style w:val="9"/>
          <w:rFonts w:hint="eastAsia" w:ascii="方正楷体_GBK" w:hAnsi="方正楷体_GBK" w:eastAsia="方正楷体_GBK" w:cs="方正楷体_GBK"/>
          <w:kern w:val="0"/>
          <w:sz w:val="32"/>
          <w:szCs w:val="32"/>
          <w:lang w:bidi="ar"/>
        </w:rPr>
      </w:pPr>
      <w:r>
        <w:rPr>
          <w:rStyle w:val="9"/>
          <w:rFonts w:hint="eastAsia" w:ascii="方正楷体_GBK" w:hAnsi="方正楷体_GBK" w:eastAsia="方正楷体_GBK" w:cs="方正楷体_GBK"/>
          <w:kern w:val="0"/>
          <w:sz w:val="32"/>
          <w:szCs w:val="32"/>
          <w:lang w:bidi="ar"/>
        </w:rPr>
        <w:t>（十三）稳妥有序持续优化农用地空间布局</w:t>
      </w:r>
    </w:p>
    <w:p w14:paraId="2FB59EAF">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Times New Roman" w:hAnsi="Times New Roman" w:eastAsia="黑体"/>
          <w:sz w:val="32"/>
          <w:szCs w:val="32"/>
          <w:lang w:val="en-US" w:eastAsia="zh-CN"/>
        </w:rPr>
      </w:pPr>
      <w:r>
        <w:rPr>
          <w:rFonts w:hint="eastAsia" w:ascii="Times New Roman" w:hAnsi="Times New Roman" w:eastAsia="方正仿宋_GBK"/>
          <w:sz w:val="32"/>
          <w:szCs w:val="32"/>
          <w:lang w:val="en-US" w:eastAsia="zh-CN"/>
        </w:rPr>
        <w:t>至2035年，基本</w:t>
      </w:r>
      <w:r>
        <w:rPr>
          <w:rFonts w:ascii="Times New Roman" w:hAnsi="Times New Roman" w:eastAsia="方正仿宋_GBK"/>
          <w:sz w:val="32"/>
          <w:szCs w:val="32"/>
        </w:rPr>
        <w:t>实现</w:t>
      </w:r>
      <w:r>
        <w:rPr>
          <w:rFonts w:hint="eastAsia" w:ascii="Times New Roman" w:hAnsi="Times New Roman" w:eastAsia="方正仿宋_GBK"/>
          <w:sz w:val="32"/>
          <w:szCs w:val="32"/>
          <w:lang w:val="en-US" w:eastAsia="zh-CN"/>
        </w:rPr>
        <w:t>全省</w:t>
      </w:r>
      <w:r>
        <w:rPr>
          <w:rFonts w:ascii="Times New Roman" w:hAnsi="Times New Roman" w:eastAsia="方正仿宋_GBK"/>
          <w:sz w:val="32"/>
          <w:szCs w:val="32"/>
        </w:rPr>
        <w:t>布局均衡、结构优良、功能完备</w:t>
      </w:r>
      <w:r>
        <w:rPr>
          <w:rFonts w:hint="eastAsia" w:ascii="Times New Roman" w:hAnsi="Times New Roman" w:eastAsia="方正仿宋_GBK"/>
          <w:sz w:val="32"/>
          <w:szCs w:val="32"/>
          <w:lang w:val="en-US" w:eastAsia="zh-CN"/>
        </w:rPr>
        <w:t>的农用地空间布局优化，耕、林、农、水冲突矛盾问题基本化解，耕地空间、林地空间布局持续优化，连续实现耕地、</w:t>
      </w:r>
      <w:r>
        <w:rPr>
          <w:rFonts w:ascii="Times New Roman" w:hAnsi="Times New Roman" w:eastAsia="方正仿宋_GBK"/>
          <w:sz w:val="32"/>
          <w:szCs w:val="32"/>
        </w:rPr>
        <w:t>林地占补平衡。</w:t>
      </w:r>
      <w:r>
        <w:rPr>
          <w:rFonts w:hint="eastAsia" w:ascii="Times New Roman" w:hAnsi="Times New Roman" w:eastAsia="方正仿宋_GBK"/>
          <w:sz w:val="32"/>
          <w:szCs w:val="32"/>
          <w:lang w:val="en-US" w:eastAsia="zh-CN"/>
        </w:rPr>
        <w:t>定期评估规划实施成效，确保规划目标按期完成</w:t>
      </w:r>
      <w:r>
        <w:rPr>
          <w:rFonts w:ascii="Times New Roman" w:hAnsi="Times New Roman" w:eastAsia="方正仿宋_GBK"/>
          <w:sz w:val="32"/>
          <w:szCs w:val="32"/>
        </w:rPr>
        <w:t>。</w:t>
      </w:r>
    </w:p>
    <w:p w14:paraId="660C6D68">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八</w:t>
      </w:r>
      <w:r>
        <w:rPr>
          <w:rFonts w:hint="default" w:ascii="方正黑体_GBK" w:hAnsi="方正黑体_GBK" w:eastAsia="方正黑体_GBK" w:cs="方正黑体_GBK"/>
          <w:sz w:val="32"/>
          <w:szCs w:val="32"/>
          <w:lang w:val="en-US" w:eastAsia="zh-CN"/>
        </w:rPr>
        <w:t>、健全保障体系，强化规划落地执行</w:t>
      </w:r>
    </w:p>
    <w:p w14:paraId="6FBB45C8">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Style w:val="9"/>
          <w:rFonts w:hint="default" w:ascii="方正楷体_GBK" w:hAnsi="方正楷体_GBK" w:eastAsia="方正楷体_GBK" w:cs="方正楷体_GBK"/>
          <w:kern w:val="0"/>
          <w:sz w:val="32"/>
          <w:szCs w:val="32"/>
          <w:lang w:val="en-US" w:eastAsia="zh-CN" w:bidi="ar"/>
        </w:rPr>
      </w:pPr>
      <w:r>
        <w:rPr>
          <w:rStyle w:val="9"/>
          <w:rFonts w:hint="eastAsia" w:ascii="方正楷体_GBK" w:hAnsi="方正楷体_GBK" w:eastAsia="方正楷体_GBK" w:cs="方正楷体_GBK"/>
          <w:kern w:val="0"/>
          <w:sz w:val="32"/>
          <w:szCs w:val="32"/>
          <w:lang w:val="en-US" w:eastAsia="zh-CN" w:bidi="ar"/>
        </w:rPr>
        <w:t>（十四）健全规划实施机制</w:t>
      </w:r>
    </w:p>
    <w:p w14:paraId="25E011E5">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ascii="Times New Roman" w:hAnsi="Times New Roman" w:eastAsia="方正仿宋_GBK"/>
          <w:sz w:val="32"/>
          <w:szCs w:val="32"/>
        </w:rPr>
      </w:pPr>
      <w:r>
        <w:rPr>
          <w:rStyle w:val="9"/>
          <w:rFonts w:hint="eastAsia" w:ascii="方正楷体_GBK" w:hAnsi="方正楷体_GBK" w:eastAsia="方正楷体_GBK" w:cs="方正楷体_GBK"/>
          <w:kern w:val="0"/>
          <w:sz w:val="32"/>
          <w:szCs w:val="32"/>
          <w:lang w:bidi="ar"/>
        </w:rPr>
        <w:t>健全规划传导机制压实层级落地责任</w:t>
      </w:r>
      <w:r>
        <w:rPr>
          <w:rStyle w:val="9"/>
          <w:rFonts w:hint="eastAsia" w:ascii="方正楷体_GBK" w:hAnsi="方正楷体_GBK" w:eastAsia="方正楷体_GBK" w:cs="方正楷体_GBK"/>
          <w:kern w:val="0"/>
          <w:sz w:val="32"/>
          <w:szCs w:val="32"/>
          <w:lang w:eastAsia="zh-CN" w:bidi="ar"/>
        </w:rPr>
        <w:t>。</w:t>
      </w:r>
      <w:r>
        <w:rPr>
          <w:rFonts w:hint="eastAsia" w:ascii="Times New Roman" w:hAnsi="Times New Roman" w:eastAsia="方正仿宋_GBK"/>
          <w:sz w:val="32"/>
          <w:szCs w:val="32"/>
        </w:rPr>
        <w:t>耕地保护和国土空间绿化专项规划是国土空间规划的重要组成部分，</w:t>
      </w:r>
      <w:r>
        <w:rPr>
          <w:rFonts w:ascii="Times New Roman" w:hAnsi="Times New Roman" w:eastAsia="方正仿宋_GBK"/>
          <w:sz w:val="32"/>
          <w:szCs w:val="32"/>
        </w:rPr>
        <w:t>是耕林保护任务部署、工程布局、资金投放、考核监督</w:t>
      </w:r>
      <w:r>
        <w:rPr>
          <w:rFonts w:hint="eastAsia" w:ascii="Times New Roman" w:hAnsi="Times New Roman" w:eastAsia="方正仿宋_GBK"/>
          <w:sz w:val="32"/>
          <w:szCs w:val="32"/>
          <w:lang w:eastAsia="zh-CN"/>
        </w:rPr>
        <w:t>的</w:t>
      </w:r>
      <w:r>
        <w:rPr>
          <w:rFonts w:ascii="Times New Roman" w:hAnsi="Times New Roman" w:eastAsia="方正仿宋_GBK"/>
          <w:sz w:val="32"/>
          <w:szCs w:val="32"/>
        </w:rPr>
        <w:t>法定依据。</w:t>
      </w:r>
      <w:r>
        <w:rPr>
          <w:rFonts w:hint="eastAsia" w:ascii="Times New Roman" w:hAnsi="Times New Roman" w:eastAsia="方正仿宋_GBK"/>
          <w:sz w:val="32"/>
          <w:szCs w:val="32"/>
        </w:rPr>
        <w:t>专项</w:t>
      </w:r>
      <w:r>
        <w:rPr>
          <w:rFonts w:ascii="Times New Roman" w:hAnsi="Times New Roman" w:eastAsia="方正仿宋_GBK"/>
          <w:sz w:val="32"/>
          <w:szCs w:val="32"/>
        </w:rPr>
        <w:t>规划经</w:t>
      </w:r>
      <w:r>
        <w:rPr>
          <w:rFonts w:hint="eastAsia" w:ascii="Times New Roman" w:hAnsi="Times New Roman" w:eastAsia="方正仿宋_GBK"/>
          <w:sz w:val="32"/>
          <w:szCs w:val="32"/>
        </w:rPr>
        <w:t>省人民</w:t>
      </w:r>
      <w:r>
        <w:rPr>
          <w:rFonts w:ascii="Times New Roman" w:hAnsi="Times New Roman" w:eastAsia="方正仿宋_GBK"/>
          <w:sz w:val="32"/>
          <w:szCs w:val="32"/>
        </w:rPr>
        <w:t>政府批准实施，</w:t>
      </w:r>
      <w:r>
        <w:rPr>
          <w:rFonts w:hint="eastAsia" w:ascii="Times New Roman" w:hAnsi="Times New Roman" w:eastAsia="方正仿宋_GBK"/>
          <w:sz w:val="32"/>
          <w:szCs w:val="32"/>
        </w:rPr>
        <w:t>未经法定程序不得调整修改。要</w:t>
      </w:r>
      <w:r>
        <w:rPr>
          <w:rFonts w:ascii="Times New Roman" w:hAnsi="Times New Roman" w:eastAsia="方正仿宋_GBK"/>
          <w:sz w:val="32"/>
          <w:szCs w:val="32"/>
        </w:rPr>
        <w:t>强化</w:t>
      </w:r>
      <w:r>
        <w:rPr>
          <w:rFonts w:hint="eastAsia" w:ascii="Times New Roman" w:hAnsi="Times New Roman" w:eastAsia="方正仿宋_GBK"/>
          <w:sz w:val="32"/>
          <w:szCs w:val="32"/>
        </w:rPr>
        <w:t>专项规划</w:t>
      </w:r>
      <w:r>
        <w:rPr>
          <w:rFonts w:ascii="Times New Roman" w:hAnsi="Times New Roman" w:eastAsia="方正仿宋_GBK"/>
          <w:sz w:val="32"/>
          <w:szCs w:val="32"/>
        </w:rPr>
        <w:t>与省级国土空间总体规划传导衔接，落实上位规划农业、生态空间管控要求</w:t>
      </w:r>
      <w:r>
        <w:rPr>
          <w:rFonts w:hint="eastAsia" w:ascii="Times New Roman" w:hAnsi="Times New Roman" w:eastAsia="方正仿宋_GBK"/>
          <w:sz w:val="32"/>
          <w:szCs w:val="32"/>
        </w:rPr>
        <w:t>，</w:t>
      </w:r>
      <w:r>
        <w:rPr>
          <w:rFonts w:ascii="Times New Roman" w:hAnsi="Times New Roman" w:eastAsia="方正仿宋_GBK"/>
          <w:sz w:val="32"/>
          <w:szCs w:val="32"/>
        </w:rPr>
        <w:t>建立动态联动完善机制，纳入</w:t>
      </w:r>
      <w:r>
        <w:rPr>
          <w:rFonts w:hint="eastAsia" w:ascii="Times New Roman" w:hAnsi="Times New Roman" w:eastAsia="方正仿宋_GBK"/>
          <w:sz w:val="32"/>
          <w:szCs w:val="32"/>
        </w:rPr>
        <w:t>自然资源管理和</w:t>
      </w:r>
      <w:r>
        <w:rPr>
          <w:rFonts w:ascii="Times New Roman" w:hAnsi="Times New Roman" w:eastAsia="方正仿宋_GBK"/>
          <w:sz w:val="32"/>
          <w:szCs w:val="32"/>
        </w:rPr>
        <w:t>国土空间规划</w:t>
      </w:r>
      <w:r>
        <w:rPr>
          <w:rFonts w:hint="eastAsia" w:ascii="Times New Roman" w:hAnsi="Times New Roman" w:eastAsia="方正仿宋_GBK"/>
          <w:sz w:val="32"/>
          <w:szCs w:val="32"/>
        </w:rPr>
        <w:t>“</w:t>
      </w:r>
      <w:r>
        <w:rPr>
          <w:rFonts w:ascii="Times New Roman" w:hAnsi="Times New Roman" w:eastAsia="方正仿宋_GBK"/>
          <w:sz w:val="32"/>
          <w:szCs w:val="32"/>
        </w:rPr>
        <w:t>一张图</w:t>
      </w:r>
      <w:r>
        <w:rPr>
          <w:rFonts w:hint="eastAsia" w:ascii="Times New Roman" w:hAnsi="Times New Roman" w:eastAsia="方正仿宋_GBK"/>
          <w:sz w:val="32"/>
          <w:szCs w:val="32"/>
        </w:rPr>
        <w:t>”</w:t>
      </w:r>
      <w:r>
        <w:rPr>
          <w:rFonts w:ascii="Times New Roman" w:hAnsi="Times New Roman" w:eastAsia="方正仿宋_GBK"/>
          <w:sz w:val="32"/>
          <w:szCs w:val="32"/>
        </w:rPr>
        <w:t>系统。建立自上而下规划传导体系，通过空间传导、指标分解、重大工程、政策要求将任务逐级分解落</w:t>
      </w:r>
      <w:r>
        <w:rPr>
          <w:rFonts w:hint="eastAsia" w:ascii="Times New Roman" w:hAnsi="Times New Roman" w:eastAsia="方正仿宋_GBK"/>
          <w:sz w:val="32"/>
          <w:szCs w:val="32"/>
        </w:rPr>
        <w:t>实</w:t>
      </w:r>
      <w:r>
        <w:rPr>
          <w:rFonts w:ascii="Times New Roman" w:hAnsi="Times New Roman" w:eastAsia="方正仿宋_GBK"/>
          <w:sz w:val="32"/>
          <w:szCs w:val="32"/>
        </w:rPr>
        <w:t>到地块，构建上下联动实施格局。市县要依据本规划，细化四类空间，落实分区管控要求，不得擅自改变省级下达管控目标。建立部门横向会商机制，</w:t>
      </w:r>
      <w:r>
        <w:rPr>
          <w:rFonts w:hint="eastAsia" w:ascii="Times New Roman" w:hAnsi="Times New Roman" w:eastAsia="方正仿宋_GBK"/>
          <w:sz w:val="32"/>
          <w:szCs w:val="32"/>
        </w:rPr>
        <w:t>根据实际需要共同</w:t>
      </w:r>
      <w:r>
        <w:rPr>
          <w:rFonts w:ascii="Times New Roman" w:hAnsi="Times New Roman" w:eastAsia="方正仿宋_GBK"/>
          <w:sz w:val="32"/>
          <w:szCs w:val="32"/>
        </w:rPr>
        <w:t>研判耕林空间冲突、占补平衡执行等重大问题。</w:t>
      </w:r>
    </w:p>
    <w:p w14:paraId="2A31D8AC">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ascii="Times New Roman" w:hAnsi="Times New Roman" w:eastAsia="方正仿宋_GBK"/>
          <w:sz w:val="32"/>
          <w:szCs w:val="32"/>
        </w:rPr>
      </w:pPr>
      <w:r>
        <w:rPr>
          <w:rStyle w:val="9"/>
          <w:rFonts w:hint="eastAsia" w:ascii="方正楷体_GBK" w:hAnsi="方正楷体_GBK" w:eastAsia="方正楷体_GBK" w:cs="方正楷体_GBK"/>
          <w:kern w:val="0"/>
          <w:sz w:val="32"/>
          <w:szCs w:val="32"/>
          <w:lang w:bidi="ar"/>
        </w:rPr>
        <w:t>完善监管考核体系强化规划刚性约束</w:t>
      </w:r>
      <w:r>
        <w:rPr>
          <w:rStyle w:val="9"/>
          <w:rFonts w:hint="eastAsia" w:ascii="方正楷体_GBK" w:hAnsi="方正楷体_GBK" w:eastAsia="方正楷体_GBK" w:cs="方正楷体_GBK"/>
          <w:kern w:val="0"/>
          <w:sz w:val="32"/>
          <w:szCs w:val="32"/>
          <w:lang w:eastAsia="zh-CN" w:bidi="ar"/>
        </w:rPr>
        <w:t>。</w:t>
      </w:r>
      <w:r>
        <w:rPr>
          <w:rFonts w:ascii="Times New Roman" w:hAnsi="Times New Roman" w:eastAsia="方正仿宋_GBK"/>
          <w:sz w:val="32"/>
          <w:szCs w:val="32"/>
        </w:rPr>
        <w:t>健全考核制度，压实各级政府耕地、林地保护责任，厘清多部门协同职责，</w:t>
      </w:r>
      <w:r>
        <w:rPr>
          <w:rFonts w:hint="eastAsia" w:ascii="Times New Roman" w:hAnsi="Times New Roman" w:eastAsia="方正仿宋_GBK"/>
          <w:sz w:val="32"/>
          <w:szCs w:val="32"/>
        </w:rPr>
        <w:t>将专项规划落实情况</w:t>
      </w:r>
      <w:r>
        <w:rPr>
          <w:rFonts w:ascii="Times New Roman" w:hAnsi="Times New Roman" w:eastAsia="方正仿宋_GBK"/>
          <w:sz w:val="32"/>
          <w:szCs w:val="32"/>
        </w:rPr>
        <w:t>纳入耕地保护</w:t>
      </w:r>
      <w:r>
        <w:rPr>
          <w:rFonts w:hint="eastAsia" w:ascii="Times New Roman" w:hAnsi="Times New Roman" w:eastAsia="方正仿宋_GBK"/>
          <w:sz w:val="32"/>
          <w:szCs w:val="32"/>
        </w:rPr>
        <w:t>和粮食安全责任制</w:t>
      </w:r>
      <w:r>
        <w:rPr>
          <w:rFonts w:ascii="Times New Roman" w:hAnsi="Times New Roman" w:eastAsia="方正仿宋_GBK"/>
          <w:sz w:val="32"/>
          <w:szCs w:val="32"/>
        </w:rPr>
        <w:t>、林长制考核</w:t>
      </w:r>
      <w:r>
        <w:rPr>
          <w:rFonts w:hint="eastAsia" w:ascii="Times New Roman" w:hAnsi="Times New Roman" w:eastAsia="方正仿宋_GBK"/>
          <w:sz w:val="32"/>
          <w:szCs w:val="32"/>
        </w:rPr>
        <w:t>和自然资源资产离任（任中）审计</w:t>
      </w:r>
      <w:r>
        <w:rPr>
          <w:rFonts w:ascii="Times New Roman" w:hAnsi="Times New Roman" w:eastAsia="方正仿宋_GBK"/>
          <w:sz w:val="32"/>
          <w:szCs w:val="32"/>
        </w:rPr>
        <w:t>。强化资金保障，统筹自然资源、林业、农业农村、生态环境、水利领域财政资金，向规划确定</w:t>
      </w:r>
      <w:r>
        <w:rPr>
          <w:rFonts w:hint="eastAsia" w:ascii="Times New Roman" w:hAnsi="Times New Roman" w:eastAsia="方正仿宋_GBK"/>
          <w:sz w:val="32"/>
          <w:szCs w:val="32"/>
        </w:rPr>
        <w:t>的</w:t>
      </w:r>
      <w:r>
        <w:rPr>
          <w:rFonts w:ascii="Times New Roman" w:hAnsi="Times New Roman" w:eastAsia="方正仿宋_GBK"/>
          <w:sz w:val="32"/>
          <w:szCs w:val="32"/>
        </w:rPr>
        <w:t>重点区域倾斜，</w:t>
      </w:r>
      <w:r>
        <w:rPr>
          <w:rFonts w:hint="eastAsia" w:ascii="Times New Roman" w:hAnsi="Times New Roman" w:eastAsia="方正仿宋_GBK"/>
          <w:sz w:val="32"/>
          <w:szCs w:val="32"/>
        </w:rPr>
        <w:t>探索</w:t>
      </w:r>
      <w:r>
        <w:rPr>
          <w:rFonts w:ascii="Times New Roman" w:hAnsi="Times New Roman" w:eastAsia="方正仿宋_GBK"/>
          <w:sz w:val="32"/>
          <w:szCs w:val="32"/>
        </w:rPr>
        <w:t>创新投融资模式，引导社会资本合规参与耕林整治、国土绿化工程。强化监管执法，依托</w:t>
      </w:r>
      <w:r>
        <w:rPr>
          <w:rFonts w:hint="eastAsia" w:ascii="Times New Roman" w:hAnsi="Times New Roman" w:eastAsia="方正仿宋_GBK"/>
          <w:sz w:val="32"/>
          <w:szCs w:val="32"/>
        </w:rPr>
        <w:t>自然资源管理和</w:t>
      </w:r>
      <w:r>
        <w:rPr>
          <w:rFonts w:ascii="Times New Roman" w:hAnsi="Times New Roman" w:eastAsia="方正仿宋_GBK"/>
          <w:sz w:val="32"/>
          <w:szCs w:val="32"/>
        </w:rPr>
        <w:t>国土空间</w:t>
      </w:r>
      <w:r>
        <w:rPr>
          <w:rFonts w:hint="eastAsia" w:ascii="Times New Roman" w:hAnsi="Times New Roman" w:eastAsia="方正仿宋_GBK"/>
          <w:sz w:val="32"/>
          <w:szCs w:val="32"/>
        </w:rPr>
        <w:t>规划“</w:t>
      </w:r>
      <w:r>
        <w:rPr>
          <w:rFonts w:ascii="Times New Roman" w:hAnsi="Times New Roman" w:eastAsia="方正仿宋_GBK"/>
          <w:sz w:val="32"/>
          <w:szCs w:val="32"/>
        </w:rPr>
        <w:t>一张图</w:t>
      </w:r>
      <w:r>
        <w:rPr>
          <w:rFonts w:hint="eastAsia" w:ascii="Times New Roman" w:hAnsi="Times New Roman" w:eastAsia="方正仿宋_GBK"/>
          <w:sz w:val="32"/>
          <w:szCs w:val="32"/>
        </w:rPr>
        <w:t>”系统</w:t>
      </w:r>
      <w:r>
        <w:rPr>
          <w:rFonts w:ascii="Times New Roman" w:hAnsi="Times New Roman" w:eastAsia="方正仿宋_GBK"/>
          <w:sz w:val="32"/>
          <w:szCs w:val="32"/>
        </w:rPr>
        <w:t>，强化</w:t>
      </w:r>
      <w:r>
        <w:rPr>
          <w:rFonts w:hint="eastAsia" w:ascii="Times New Roman" w:hAnsi="Times New Roman" w:eastAsia="方正仿宋_GBK"/>
          <w:sz w:val="32"/>
          <w:szCs w:val="32"/>
        </w:rPr>
        <w:t>耕地、林地</w:t>
      </w:r>
      <w:r>
        <w:rPr>
          <w:rFonts w:ascii="Times New Roman" w:hAnsi="Times New Roman" w:eastAsia="方正仿宋_GBK"/>
          <w:sz w:val="32"/>
          <w:szCs w:val="32"/>
        </w:rPr>
        <w:t>动态监测联动，严厉打击违法占用耕地、破坏林地行为</w:t>
      </w:r>
      <w:r>
        <w:rPr>
          <w:rFonts w:hint="eastAsia" w:ascii="Times New Roman" w:hAnsi="Times New Roman" w:eastAsia="方正仿宋_GBK"/>
          <w:sz w:val="32"/>
          <w:szCs w:val="32"/>
        </w:rPr>
        <w:t>。</w:t>
      </w:r>
      <w:r>
        <w:rPr>
          <w:rFonts w:ascii="Times New Roman" w:hAnsi="Times New Roman" w:eastAsia="方正仿宋_GBK"/>
          <w:sz w:val="32"/>
          <w:szCs w:val="32"/>
        </w:rPr>
        <w:t>健全问题线索移送、联合执法机制，自然资源、林业、农业农村、公安</w:t>
      </w:r>
      <w:r>
        <w:rPr>
          <w:rFonts w:hint="eastAsia" w:ascii="Times New Roman" w:hAnsi="Times New Roman" w:eastAsia="方正仿宋_GBK"/>
          <w:sz w:val="32"/>
          <w:szCs w:val="32"/>
        </w:rPr>
        <w:t>机关等根据需要</w:t>
      </w:r>
      <w:r>
        <w:rPr>
          <w:rFonts w:ascii="Times New Roman" w:hAnsi="Times New Roman" w:eastAsia="方正仿宋_GBK"/>
          <w:sz w:val="32"/>
          <w:szCs w:val="32"/>
        </w:rPr>
        <w:t>协同开展专项整治。妥善处置历史遗留耕林重叠问题，尊重历史、分类处置，不搞</w:t>
      </w:r>
      <w:r>
        <w:rPr>
          <w:rFonts w:hint="eastAsia" w:ascii="Times New Roman" w:hAnsi="Times New Roman" w:eastAsia="方正仿宋_GBK"/>
          <w:sz w:val="32"/>
          <w:szCs w:val="32"/>
        </w:rPr>
        <w:t>“</w:t>
      </w:r>
      <w:r>
        <w:rPr>
          <w:rFonts w:ascii="Times New Roman" w:hAnsi="Times New Roman" w:eastAsia="方正仿宋_GBK"/>
          <w:sz w:val="32"/>
          <w:szCs w:val="32"/>
        </w:rPr>
        <w:t>一刀切</w:t>
      </w:r>
      <w:r>
        <w:rPr>
          <w:rFonts w:hint="eastAsia" w:ascii="Times New Roman" w:hAnsi="Times New Roman" w:eastAsia="方正仿宋_GBK"/>
          <w:sz w:val="32"/>
          <w:szCs w:val="32"/>
        </w:rPr>
        <w:t>”</w:t>
      </w:r>
      <w:r>
        <w:rPr>
          <w:rFonts w:ascii="Times New Roman" w:hAnsi="Times New Roman" w:eastAsia="方正仿宋_GBK"/>
          <w:sz w:val="32"/>
          <w:szCs w:val="32"/>
        </w:rPr>
        <w:t>，防范</w:t>
      </w:r>
      <w:r>
        <w:rPr>
          <w:rFonts w:hint="eastAsia" w:ascii="Times New Roman" w:hAnsi="Times New Roman" w:eastAsia="方正仿宋_GBK"/>
          <w:sz w:val="32"/>
          <w:szCs w:val="32"/>
        </w:rPr>
        <w:t>处置不当</w:t>
      </w:r>
      <w:r>
        <w:rPr>
          <w:rFonts w:ascii="Times New Roman" w:hAnsi="Times New Roman" w:eastAsia="方正仿宋_GBK"/>
          <w:sz w:val="32"/>
          <w:szCs w:val="32"/>
        </w:rPr>
        <w:t>引发社会风险。省级自然资源、林业主管部门会同相关部门定期开展评估，重点</w:t>
      </w:r>
      <w:r>
        <w:rPr>
          <w:rFonts w:hint="eastAsia" w:ascii="Times New Roman" w:hAnsi="Times New Roman" w:eastAsia="方正仿宋_GBK"/>
          <w:sz w:val="32"/>
          <w:szCs w:val="32"/>
        </w:rPr>
        <w:t>评估</w:t>
      </w:r>
      <w:r>
        <w:rPr>
          <w:rFonts w:ascii="Times New Roman" w:hAnsi="Times New Roman" w:eastAsia="方正仿宋_GBK"/>
          <w:sz w:val="32"/>
          <w:szCs w:val="32"/>
        </w:rPr>
        <w:t>指标完成、四类空间稳定性、重大工程落地成效，依据评估结果动态优化规划，成果纳入</w:t>
      </w:r>
      <w:r>
        <w:rPr>
          <w:rFonts w:hint="eastAsia" w:ascii="Times New Roman" w:hAnsi="Times New Roman" w:eastAsia="方正仿宋_GBK"/>
          <w:sz w:val="32"/>
          <w:szCs w:val="32"/>
        </w:rPr>
        <w:t>自然资源管理和</w:t>
      </w:r>
      <w:r>
        <w:rPr>
          <w:rFonts w:ascii="Times New Roman" w:hAnsi="Times New Roman" w:eastAsia="方正仿宋_GBK"/>
          <w:sz w:val="32"/>
          <w:szCs w:val="32"/>
        </w:rPr>
        <w:t>国土空间规划</w:t>
      </w:r>
      <w:r>
        <w:rPr>
          <w:rFonts w:hint="eastAsia" w:ascii="Times New Roman" w:hAnsi="Times New Roman" w:eastAsia="方正仿宋_GBK"/>
          <w:sz w:val="32"/>
          <w:szCs w:val="32"/>
        </w:rPr>
        <w:t>“</w:t>
      </w:r>
      <w:r>
        <w:rPr>
          <w:rFonts w:ascii="Times New Roman" w:hAnsi="Times New Roman" w:eastAsia="方正仿宋_GBK"/>
          <w:sz w:val="32"/>
          <w:szCs w:val="32"/>
        </w:rPr>
        <w:t>一张图</w:t>
      </w:r>
      <w:r>
        <w:rPr>
          <w:rFonts w:hint="eastAsia" w:ascii="Times New Roman" w:hAnsi="Times New Roman" w:eastAsia="方正仿宋_GBK"/>
          <w:sz w:val="32"/>
          <w:szCs w:val="32"/>
        </w:rPr>
        <w:t>”系统</w:t>
      </w:r>
      <w:r>
        <w:rPr>
          <w:rFonts w:ascii="Times New Roman" w:hAnsi="Times New Roman" w:eastAsia="方正仿宋_GBK"/>
          <w:sz w:val="32"/>
          <w:szCs w:val="32"/>
        </w:rPr>
        <w:t>。</w:t>
      </w:r>
    </w:p>
    <w:p w14:paraId="18DF4B75">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ascii="Times New Roman" w:hAnsi="Times New Roman" w:eastAsia="方正仿宋_GBK"/>
          <w:sz w:val="32"/>
          <w:szCs w:val="32"/>
        </w:rPr>
      </w:pPr>
      <w:r>
        <w:rPr>
          <w:rStyle w:val="9"/>
          <w:rFonts w:hint="eastAsia" w:ascii="方正楷体_GBK" w:hAnsi="方正楷体_GBK" w:eastAsia="方正楷体_GBK" w:cs="方正楷体_GBK"/>
          <w:kern w:val="0"/>
          <w:sz w:val="32"/>
          <w:szCs w:val="32"/>
          <w:lang w:bidi="ar"/>
        </w:rPr>
        <w:t>搭建智慧监管平台实现耕地精准管控</w:t>
      </w:r>
      <w:r>
        <w:rPr>
          <w:rStyle w:val="9"/>
          <w:rFonts w:hint="eastAsia" w:ascii="方正楷体_GBK" w:hAnsi="方正楷体_GBK" w:eastAsia="方正楷体_GBK" w:cs="方正楷体_GBK"/>
          <w:kern w:val="0"/>
          <w:sz w:val="32"/>
          <w:szCs w:val="32"/>
          <w:lang w:eastAsia="zh-CN" w:bidi="ar"/>
        </w:rPr>
        <w:t>。</w:t>
      </w:r>
      <w:r>
        <w:rPr>
          <w:rFonts w:hint="eastAsia" w:ascii="Times New Roman" w:hAnsi="Times New Roman" w:eastAsia="方正仿宋_GBK"/>
          <w:sz w:val="32"/>
          <w:szCs w:val="32"/>
        </w:rPr>
        <w:t>以省级耕地保护奖补资金为基础，</w:t>
      </w:r>
      <w:r>
        <w:rPr>
          <w:rFonts w:ascii="Times New Roman" w:hAnsi="Times New Roman" w:eastAsia="方正仿宋_GBK"/>
          <w:sz w:val="32"/>
          <w:szCs w:val="32"/>
        </w:rPr>
        <w:t>依托</w:t>
      </w:r>
      <w:r>
        <w:rPr>
          <w:rFonts w:hint="eastAsia" w:ascii="Times New Roman" w:hAnsi="Times New Roman" w:eastAsia="方正仿宋_GBK"/>
          <w:sz w:val="32"/>
          <w:szCs w:val="32"/>
        </w:rPr>
        <w:t>自然资源管理和国土空间规划“一张图”系统，运用卫星遥感、无人机、铁塔探头等监测技术，创新使用大数据、人工智能等</w:t>
      </w:r>
      <w:r>
        <w:rPr>
          <w:rFonts w:ascii="Times New Roman" w:hAnsi="Times New Roman" w:eastAsia="方正仿宋_GBK"/>
          <w:sz w:val="32"/>
          <w:szCs w:val="32"/>
        </w:rPr>
        <w:t>信息化手段，构建省、市、县三级联动耕保监管</w:t>
      </w:r>
      <w:r>
        <w:rPr>
          <w:rFonts w:hint="eastAsia" w:ascii="Times New Roman" w:hAnsi="Times New Roman" w:eastAsia="方正仿宋_GBK"/>
          <w:sz w:val="32"/>
          <w:szCs w:val="32"/>
        </w:rPr>
        <w:t>智能</w:t>
      </w:r>
      <w:r>
        <w:rPr>
          <w:rFonts w:ascii="Times New Roman" w:hAnsi="Times New Roman" w:eastAsia="方正仿宋_GBK"/>
          <w:sz w:val="32"/>
          <w:szCs w:val="32"/>
        </w:rPr>
        <w:t>平台，</w:t>
      </w:r>
      <w:r>
        <w:rPr>
          <w:rFonts w:hint="eastAsia" w:ascii="Times New Roman" w:hAnsi="Times New Roman" w:eastAsia="方正仿宋_GBK"/>
          <w:sz w:val="32"/>
          <w:szCs w:val="32"/>
        </w:rPr>
        <w:t>贯</w:t>
      </w:r>
      <w:r>
        <w:rPr>
          <w:rFonts w:ascii="Times New Roman" w:hAnsi="Times New Roman" w:eastAsia="方正仿宋_GBK"/>
          <w:sz w:val="32"/>
          <w:szCs w:val="32"/>
        </w:rPr>
        <w:t>通自然资源、林业、农业农村、水利多部门数据，实现耕</w:t>
      </w:r>
      <w:r>
        <w:rPr>
          <w:rFonts w:hint="eastAsia" w:ascii="Times New Roman" w:hAnsi="Times New Roman" w:eastAsia="方正仿宋_GBK"/>
          <w:sz w:val="32"/>
          <w:szCs w:val="32"/>
        </w:rPr>
        <w:t>地</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lang w:val="en-US" w:eastAsia="zh-CN"/>
        </w:rPr>
        <w:t>林地</w:t>
      </w:r>
      <w:r>
        <w:rPr>
          <w:rFonts w:ascii="Times New Roman" w:hAnsi="Times New Roman" w:eastAsia="方正仿宋_GBK"/>
          <w:sz w:val="32"/>
          <w:szCs w:val="32"/>
        </w:rPr>
        <w:t>变化</w:t>
      </w:r>
      <w:r>
        <w:rPr>
          <w:rFonts w:hint="eastAsia" w:ascii="Times New Roman" w:hAnsi="Times New Roman" w:eastAsia="方正仿宋_GBK"/>
          <w:sz w:val="32"/>
          <w:szCs w:val="32"/>
        </w:rPr>
        <w:t>地块</w:t>
      </w:r>
      <w:r>
        <w:rPr>
          <w:rFonts w:ascii="Times New Roman" w:hAnsi="Times New Roman" w:eastAsia="方正仿宋_GBK"/>
          <w:sz w:val="32"/>
          <w:szCs w:val="32"/>
        </w:rPr>
        <w:t>统一监测、统一预警、统一处置，推动监管由事后核查向事前预警、过程管控转变，落实协同共治、全域管控工作要求。进一步强化跨部门</w:t>
      </w:r>
      <w:r>
        <w:rPr>
          <w:rFonts w:hint="eastAsia" w:ascii="Times New Roman" w:hAnsi="Times New Roman" w:eastAsia="方正仿宋_GBK"/>
          <w:sz w:val="32"/>
          <w:szCs w:val="32"/>
        </w:rPr>
        <w:t>、跨层级</w:t>
      </w:r>
      <w:r>
        <w:rPr>
          <w:rFonts w:ascii="Times New Roman" w:hAnsi="Times New Roman" w:eastAsia="方正仿宋_GBK"/>
          <w:sz w:val="32"/>
          <w:szCs w:val="32"/>
        </w:rPr>
        <w:t>数据共享协同治理，</w:t>
      </w:r>
      <w:r>
        <w:rPr>
          <w:rFonts w:hint="eastAsia" w:ascii="Times New Roman" w:hAnsi="Times New Roman" w:eastAsia="方正仿宋_GBK"/>
          <w:sz w:val="32"/>
          <w:szCs w:val="32"/>
        </w:rPr>
        <w:t>将</w:t>
      </w:r>
      <w:r>
        <w:rPr>
          <w:rFonts w:ascii="Times New Roman" w:hAnsi="Times New Roman" w:eastAsia="方正仿宋_GBK"/>
          <w:sz w:val="32"/>
          <w:szCs w:val="32"/>
        </w:rPr>
        <w:t>日常巡查、</w:t>
      </w:r>
      <w:r>
        <w:rPr>
          <w:rFonts w:hint="eastAsia" w:ascii="Times New Roman" w:hAnsi="Times New Roman" w:eastAsia="方正仿宋_GBK"/>
          <w:sz w:val="32"/>
          <w:szCs w:val="32"/>
        </w:rPr>
        <w:t>技术</w:t>
      </w:r>
      <w:r>
        <w:rPr>
          <w:rFonts w:ascii="Times New Roman" w:hAnsi="Times New Roman" w:eastAsia="方正仿宋_GBK"/>
          <w:sz w:val="32"/>
          <w:szCs w:val="32"/>
        </w:rPr>
        <w:t>监测、业务审批备案等多源数据归集到统一平台，形成发现</w:t>
      </w:r>
      <w:r>
        <w:rPr>
          <w:rFonts w:hint="eastAsia" w:ascii="Times New Roman" w:hAnsi="Times New Roman" w:eastAsia="方正仿宋_GBK"/>
          <w:sz w:val="32"/>
          <w:szCs w:val="32"/>
        </w:rPr>
        <w:t>—</w:t>
      </w:r>
      <w:r>
        <w:rPr>
          <w:rFonts w:ascii="Times New Roman" w:hAnsi="Times New Roman" w:eastAsia="方正仿宋_GBK"/>
          <w:sz w:val="32"/>
          <w:szCs w:val="32"/>
        </w:rPr>
        <w:t>推送</w:t>
      </w:r>
      <w:r>
        <w:rPr>
          <w:rFonts w:hint="eastAsia" w:ascii="Times New Roman" w:hAnsi="Times New Roman" w:eastAsia="方正仿宋_GBK"/>
          <w:sz w:val="32"/>
          <w:szCs w:val="32"/>
        </w:rPr>
        <w:t>—</w:t>
      </w:r>
      <w:r>
        <w:rPr>
          <w:rFonts w:ascii="Times New Roman" w:hAnsi="Times New Roman" w:eastAsia="方正仿宋_GBK"/>
          <w:sz w:val="32"/>
          <w:szCs w:val="32"/>
        </w:rPr>
        <w:t>核查</w:t>
      </w:r>
      <w:r>
        <w:rPr>
          <w:rFonts w:hint="eastAsia" w:ascii="Times New Roman" w:hAnsi="Times New Roman" w:eastAsia="方正仿宋_GBK"/>
          <w:sz w:val="32"/>
          <w:szCs w:val="32"/>
        </w:rPr>
        <w:t>—</w:t>
      </w:r>
      <w:r>
        <w:rPr>
          <w:rFonts w:ascii="Times New Roman" w:hAnsi="Times New Roman" w:eastAsia="方正仿宋_GBK"/>
          <w:sz w:val="32"/>
          <w:szCs w:val="32"/>
        </w:rPr>
        <w:t>处置</w:t>
      </w:r>
      <w:r>
        <w:rPr>
          <w:rFonts w:hint="eastAsia" w:ascii="Times New Roman" w:hAnsi="Times New Roman" w:eastAsia="方正仿宋_GBK"/>
          <w:sz w:val="32"/>
          <w:szCs w:val="32"/>
        </w:rPr>
        <w:t>—</w:t>
      </w:r>
      <w:r>
        <w:rPr>
          <w:rFonts w:ascii="Times New Roman" w:hAnsi="Times New Roman" w:eastAsia="方正仿宋_GBK"/>
          <w:sz w:val="32"/>
          <w:szCs w:val="32"/>
        </w:rPr>
        <w:t>销号完整闭环，</w:t>
      </w:r>
      <w:r>
        <w:rPr>
          <w:rFonts w:hint="eastAsia" w:ascii="Times New Roman" w:hAnsi="Times New Roman" w:eastAsia="方正仿宋_GBK"/>
          <w:sz w:val="32"/>
          <w:szCs w:val="32"/>
          <w:lang w:val="en-US" w:eastAsia="zh-CN"/>
        </w:rPr>
        <w:t>解决</w:t>
      </w:r>
      <w:r>
        <w:rPr>
          <w:rFonts w:ascii="Times New Roman" w:hAnsi="Times New Roman" w:eastAsia="方正仿宋_GBK"/>
          <w:sz w:val="32"/>
          <w:szCs w:val="32"/>
        </w:rPr>
        <w:t>部门分头监测、线索重复下发、基层多头填报</w:t>
      </w:r>
      <w:r>
        <w:rPr>
          <w:rFonts w:hint="eastAsia" w:ascii="Times New Roman" w:hAnsi="Times New Roman" w:eastAsia="方正仿宋_GBK"/>
          <w:sz w:val="32"/>
          <w:szCs w:val="32"/>
          <w:lang w:val="en-US" w:eastAsia="zh-CN"/>
        </w:rPr>
        <w:t>等问题</w:t>
      </w:r>
      <w:r>
        <w:rPr>
          <w:rFonts w:ascii="Times New Roman" w:hAnsi="Times New Roman" w:eastAsia="方正仿宋_GBK"/>
          <w:sz w:val="32"/>
          <w:szCs w:val="32"/>
        </w:rPr>
        <w:t>，减轻基层</w:t>
      </w:r>
      <w:r>
        <w:rPr>
          <w:rFonts w:hint="eastAsia" w:ascii="Times New Roman" w:hAnsi="Times New Roman" w:eastAsia="方正仿宋_GBK"/>
          <w:sz w:val="32"/>
          <w:szCs w:val="32"/>
        </w:rPr>
        <w:t>工作量</w:t>
      </w:r>
      <w:r>
        <w:rPr>
          <w:rFonts w:ascii="Times New Roman" w:hAnsi="Times New Roman" w:eastAsia="方正仿宋_GBK"/>
          <w:sz w:val="32"/>
          <w:szCs w:val="32"/>
        </w:rPr>
        <w:t>，全面提升耕</w:t>
      </w:r>
      <w:r>
        <w:rPr>
          <w:rFonts w:hint="eastAsia" w:ascii="Times New Roman" w:hAnsi="Times New Roman" w:eastAsia="方正仿宋_GBK"/>
          <w:sz w:val="32"/>
          <w:szCs w:val="32"/>
          <w:lang w:val="en-US" w:eastAsia="zh-CN"/>
        </w:rPr>
        <w:t>林</w:t>
      </w:r>
      <w:r>
        <w:rPr>
          <w:rFonts w:ascii="Times New Roman" w:hAnsi="Times New Roman" w:eastAsia="方正仿宋_GBK"/>
          <w:sz w:val="32"/>
          <w:szCs w:val="32"/>
        </w:rPr>
        <w:t>空间动态监管的精细化水平。</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364"/>
        <w:gridCol w:w="6182"/>
      </w:tblGrid>
      <w:tr w14:paraId="4C798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5000" w:type="pct"/>
            <w:gridSpan w:val="2"/>
            <w:noWrap w:val="0"/>
            <w:tcMar>
              <w:top w:w="120" w:type="dxa"/>
              <w:left w:w="120" w:type="dxa"/>
              <w:bottom w:w="120" w:type="dxa"/>
              <w:right w:w="120" w:type="dxa"/>
            </w:tcMar>
            <w:vAlign w:val="center"/>
          </w:tcPr>
          <w:p w14:paraId="28955588">
            <w:pPr>
              <w:keepNext w:val="0"/>
              <w:keepLines w:val="0"/>
              <w:pageBreakBefore w:val="0"/>
              <w:widowControl w:val="0"/>
              <w:kinsoku/>
              <w:wordWrap/>
              <w:overflowPunct/>
              <w:topLinePunct w:val="0"/>
              <w:autoSpaceDE/>
              <w:autoSpaceDN/>
              <w:bidi w:val="0"/>
              <w:adjustRightInd/>
              <w:snapToGrid/>
              <w:spacing w:line="400" w:lineRule="exact"/>
              <w:ind w:firstLine="641"/>
              <w:textAlignment w:val="auto"/>
              <w:rPr>
                <w:rFonts w:ascii="Times New Roman" w:hAnsi="Times New Roman" w:eastAsia="黑体"/>
                <w:sz w:val="28"/>
                <w:szCs w:val="28"/>
              </w:rPr>
            </w:pPr>
            <w:r>
              <w:rPr>
                <w:rFonts w:ascii="Times New Roman" w:hAnsi="Times New Roman" w:eastAsia="方正仿宋_GBK"/>
                <w:sz w:val="32"/>
                <w:szCs w:val="32"/>
              </w:rPr>
              <w:br w:type="page"/>
            </w:r>
            <w:r>
              <w:rPr>
                <w:rFonts w:hint="eastAsia" w:ascii="Times New Roman" w:hAnsi="Times New Roman" w:eastAsia="黑体"/>
                <w:sz w:val="28"/>
                <w:szCs w:val="28"/>
              </w:rPr>
              <w:t>专栏</w:t>
            </w:r>
            <w:r>
              <w:rPr>
                <w:rFonts w:hint="eastAsia" w:ascii="Times New Roman" w:hAnsi="Times New Roman" w:eastAsia="黑体"/>
                <w:sz w:val="28"/>
                <w:szCs w:val="28"/>
                <w:lang w:val="en-US" w:eastAsia="zh-CN"/>
              </w:rPr>
              <w:t xml:space="preserve">10  </w:t>
            </w:r>
            <w:r>
              <w:rPr>
                <w:rFonts w:hint="eastAsia" w:ascii="Times New Roman" w:hAnsi="Times New Roman" w:eastAsia="黑体"/>
                <w:sz w:val="28"/>
                <w:szCs w:val="28"/>
              </w:rPr>
              <w:t>省级智慧耕地保护监管体系建设重点工程</w:t>
            </w:r>
          </w:p>
        </w:tc>
      </w:tr>
      <w:tr w14:paraId="68F00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383" w:type="pct"/>
            <w:noWrap w:val="0"/>
            <w:tcMar>
              <w:top w:w="120" w:type="dxa"/>
              <w:left w:w="120" w:type="dxa"/>
              <w:bottom w:w="120" w:type="dxa"/>
              <w:right w:w="120" w:type="dxa"/>
            </w:tcMar>
            <w:vAlign w:val="center"/>
          </w:tcPr>
          <w:p w14:paraId="5249F2E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rPr>
              <w:t>工程类型</w:t>
            </w:r>
          </w:p>
        </w:tc>
        <w:tc>
          <w:tcPr>
            <w:tcW w:w="3616" w:type="pct"/>
            <w:noWrap w:val="0"/>
            <w:tcMar>
              <w:top w:w="120" w:type="dxa"/>
              <w:left w:w="120" w:type="dxa"/>
              <w:bottom w:w="120" w:type="dxa"/>
              <w:right w:w="120" w:type="dxa"/>
            </w:tcMar>
            <w:vAlign w:val="center"/>
          </w:tcPr>
          <w:p w14:paraId="7134F1B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ascii="Times New Roman" w:hAnsi="Times New Roman" w:eastAsia="黑体"/>
                <w:sz w:val="28"/>
                <w:szCs w:val="28"/>
              </w:rPr>
            </w:pPr>
            <w:r>
              <w:rPr>
                <w:rFonts w:hint="eastAsia" w:ascii="Times New Roman" w:hAnsi="Times New Roman" w:eastAsia="黑体"/>
                <w:sz w:val="28"/>
                <w:szCs w:val="28"/>
              </w:rPr>
              <w:t>建设内容</w:t>
            </w:r>
          </w:p>
        </w:tc>
      </w:tr>
      <w:tr w14:paraId="59FA0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383" w:type="pct"/>
            <w:noWrap w:val="0"/>
            <w:tcMar>
              <w:top w:w="120" w:type="dxa"/>
              <w:left w:w="120" w:type="dxa"/>
              <w:bottom w:w="120" w:type="dxa"/>
              <w:right w:w="120" w:type="dxa"/>
            </w:tcMar>
            <w:vAlign w:val="center"/>
          </w:tcPr>
          <w:p w14:paraId="65F3E8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综合展示驾驶舱建设</w:t>
            </w:r>
          </w:p>
        </w:tc>
        <w:tc>
          <w:tcPr>
            <w:tcW w:w="3616" w:type="pct"/>
            <w:noWrap w:val="0"/>
            <w:tcMar>
              <w:top w:w="120" w:type="dxa"/>
              <w:left w:w="120" w:type="dxa"/>
              <w:bottom w:w="120" w:type="dxa"/>
              <w:right w:w="120" w:type="dxa"/>
            </w:tcMar>
            <w:vAlign w:val="center"/>
          </w:tcPr>
          <w:p w14:paraId="35F0F3EE">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大屏可视化展示全省耕保态势，开展统计</w:t>
            </w:r>
            <w:r>
              <w:rPr>
                <w:rFonts w:hint="eastAsia" w:ascii="Times New Roman" w:hAnsi="Times New Roman" w:eastAsia="方正仿宋_GBK"/>
                <w:sz w:val="28"/>
                <w:szCs w:val="28"/>
              </w:rPr>
              <w:t>分析</w:t>
            </w:r>
            <w:r>
              <w:rPr>
                <w:rFonts w:ascii="Times New Roman" w:hAnsi="Times New Roman" w:eastAsia="方正仿宋_GBK"/>
                <w:sz w:val="28"/>
                <w:szCs w:val="28"/>
              </w:rPr>
              <w:t>、态势研判、</w:t>
            </w:r>
            <w:r>
              <w:rPr>
                <w:rFonts w:hint="eastAsia" w:ascii="Times New Roman" w:hAnsi="Times New Roman" w:eastAsia="方正仿宋_GBK"/>
                <w:sz w:val="28"/>
                <w:szCs w:val="28"/>
              </w:rPr>
              <w:t>综合评估</w:t>
            </w:r>
            <w:r>
              <w:rPr>
                <w:rFonts w:ascii="Times New Roman" w:hAnsi="Times New Roman" w:eastAsia="方正仿宋_GBK"/>
                <w:sz w:val="28"/>
                <w:szCs w:val="28"/>
              </w:rPr>
              <w:t>，支撑管理层决策</w:t>
            </w:r>
            <w:r>
              <w:rPr>
                <w:rFonts w:hint="eastAsia" w:ascii="Times New Roman" w:hAnsi="Times New Roman" w:eastAsia="方正仿宋_GBK"/>
                <w:sz w:val="28"/>
                <w:szCs w:val="28"/>
              </w:rPr>
              <w:t>。</w:t>
            </w:r>
          </w:p>
        </w:tc>
      </w:tr>
      <w:tr w14:paraId="1F54F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383" w:type="pct"/>
            <w:noWrap w:val="0"/>
            <w:tcMar>
              <w:top w:w="120" w:type="dxa"/>
              <w:left w:w="120" w:type="dxa"/>
              <w:bottom w:w="120" w:type="dxa"/>
              <w:right w:w="120" w:type="dxa"/>
            </w:tcMar>
            <w:vAlign w:val="center"/>
          </w:tcPr>
          <w:p w14:paraId="6E5AD12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闭环监测预警体系建设</w:t>
            </w:r>
          </w:p>
        </w:tc>
        <w:tc>
          <w:tcPr>
            <w:tcW w:w="3616" w:type="pct"/>
            <w:noWrap w:val="0"/>
            <w:tcMar>
              <w:top w:w="120" w:type="dxa"/>
              <w:left w:w="120" w:type="dxa"/>
              <w:bottom w:w="120" w:type="dxa"/>
              <w:right w:w="120" w:type="dxa"/>
            </w:tcMar>
            <w:vAlign w:val="center"/>
          </w:tcPr>
          <w:p w14:paraId="2C11D469">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汇集卫星遥感、铁塔探头、无人机监测线索，实现全景可视、异常预警、一键跳转、闭环处置</w:t>
            </w:r>
            <w:r>
              <w:rPr>
                <w:rFonts w:hint="eastAsia" w:ascii="Times New Roman" w:hAnsi="Times New Roman" w:eastAsia="方正仿宋_GBK"/>
                <w:sz w:val="28"/>
                <w:szCs w:val="28"/>
              </w:rPr>
              <w:t>。</w:t>
            </w:r>
          </w:p>
        </w:tc>
      </w:tr>
      <w:tr w14:paraId="52755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383" w:type="pct"/>
            <w:noWrap w:val="0"/>
            <w:tcMar>
              <w:top w:w="120" w:type="dxa"/>
              <w:left w:w="120" w:type="dxa"/>
              <w:bottom w:w="120" w:type="dxa"/>
              <w:right w:w="120" w:type="dxa"/>
            </w:tcMar>
            <w:vAlign w:val="center"/>
          </w:tcPr>
          <w:p w14:paraId="705D7A5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方正楷体_GBK" w:hAnsi="方正楷体_GBK" w:eastAsia="方正楷体_GBK" w:cs="方正楷体_GBK"/>
                <w:sz w:val="28"/>
                <w:szCs w:val="28"/>
              </w:rPr>
            </w:pPr>
            <w:r>
              <w:rPr>
                <w:rFonts w:ascii="方正楷体_GBK" w:hAnsi="方正楷体_GBK" w:eastAsia="方正楷体_GBK" w:cs="方正楷体_GBK"/>
                <w:sz w:val="28"/>
                <w:szCs w:val="28"/>
              </w:rPr>
              <w:t>全业务一体化管控平台建设</w:t>
            </w:r>
          </w:p>
        </w:tc>
        <w:tc>
          <w:tcPr>
            <w:tcW w:w="3616" w:type="pct"/>
            <w:noWrap w:val="0"/>
            <w:tcMar>
              <w:top w:w="120" w:type="dxa"/>
              <w:left w:w="120" w:type="dxa"/>
              <w:bottom w:w="120" w:type="dxa"/>
              <w:right w:w="120" w:type="dxa"/>
            </w:tcMar>
            <w:vAlign w:val="center"/>
          </w:tcPr>
          <w:p w14:paraId="78094958">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仿宋_GBK"/>
                <w:sz w:val="28"/>
                <w:szCs w:val="28"/>
              </w:rPr>
            </w:pPr>
            <w:r>
              <w:rPr>
                <w:rFonts w:ascii="Times New Roman" w:hAnsi="Times New Roman" w:eastAsia="方正仿宋_GBK"/>
                <w:sz w:val="28"/>
                <w:szCs w:val="28"/>
              </w:rPr>
              <w:t>整合业务子系统，优化审批流程，减少基层重复填报，搭建跨部门联合审查通道</w:t>
            </w:r>
            <w:r>
              <w:rPr>
                <w:rFonts w:hint="eastAsia" w:ascii="Times New Roman" w:hAnsi="Times New Roman" w:eastAsia="方正仿宋_GBK"/>
                <w:sz w:val="28"/>
                <w:szCs w:val="28"/>
              </w:rPr>
              <w:t>，提升管理效率。</w:t>
            </w:r>
          </w:p>
        </w:tc>
      </w:tr>
    </w:tbl>
    <w:p w14:paraId="73850301">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Style w:val="9"/>
          <w:rFonts w:hint="eastAsia" w:ascii="方正楷体_GBK" w:hAnsi="方正楷体_GBK" w:eastAsia="方正楷体_GBK" w:cs="方正楷体_GBK"/>
          <w:kern w:val="0"/>
          <w:sz w:val="32"/>
          <w:szCs w:val="32"/>
          <w:lang w:val="en-US" w:eastAsia="zh-CN" w:bidi="ar"/>
        </w:rPr>
      </w:pPr>
      <w:r>
        <w:rPr>
          <w:rStyle w:val="9"/>
          <w:rFonts w:hint="eastAsia" w:ascii="方正楷体_GBK" w:hAnsi="方正楷体_GBK" w:eastAsia="方正楷体_GBK" w:cs="方正楷体_GBK"/>
          <w:kern w:val="0"/>
          <w:sz w:val="32"/>
          <w:szCs w:val="32"/>
          <w:lang w:val="en-US" w:eastAsia="zh-CN" w:bidi="ar"/>
        </w:rPr>
        <w:t>（十五）加强耕林保护政策支持</w:t>
      </w:r>
    </w:p>
    <w:p w14:paraId="370569F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3" w:firstLineChars="200"/>
        <w:textAlignment w:val="auto"/>
      </w:pPr>
      <w:r>
        <w:rPr>
          <w:rStyle w:val="9"/>
          <w:rFonts w:hint="eastAsia" w:ascii="方正楷体_GBK" w:hAnsi="方正楷体_GBK" w:eastAsia="方正楷体_GBK" w:cs="方正楷体_GBK"/>
          <w:sz w:val="32"/>
          <w:szCs w:val="32"/>
        </w:rPr>
        <w:t>优化耕林保护激励扶持政策夯实制度保障基础。</w:t>
      </w:r>
      <w:r>
        <w:rPr>
          <w:rFonts w:hint="eastAsia" w:ascii="Times New Roman" w:hAnsi="Times New Roman" w:eastAsia="方正仿宋_GBK" w:cs="Times New Roman"/>
          <w:kern w:val="2"/>
          <w:sz w:val="32"/>
          <w:szCs w:val="32"/>
          <w:lang w:bidi="ar-SA"/>
        </w:rPr>
        <w:t>健全耕地、林地差异化正向激励体系，强化政策协同集成，构建权责清晰、奖补精准、导向鲜明的耕林保护支持机制。落实耕地保护激励资金、永久基本农田管护补助等政策，对耕地保有量稳定、耕地质量提升、制止 “非农化”“非粮化” 成效突出的乡镇、村集体和农户予以倾斜支持；完善林地保护扶持政策，优化公益林补偿、天然林管护、造林抚育、森林质量提升补助机制，对落实林地用途管控、生态修复、森林资源管护成效良好的经营主体加大扶持力度。统筹涉农涉林资金投向，推动耕地建设、林地修复项目资金整合使用，鼓励金融机构创新耕地、林地经营权抵押贷款等绿色金融产品，引导社会资本合规参与耕地提质改造、国土绿化、森林经营。健全考核结果与政策奖补挂钩机制，将耕林保护成效作为资金分配、项目安排重要依据，充分调动地方、村集体、经营主体保护耕地林地的内生动力</w:t>
      </w:r>
      <w:r>
        <w:t>。</w:t>
      </w:r>
    </w:p>
    <w:p w14:paraId="1849CE8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3" w:firstLineChars="200"/>
        <w:textAlignment w:val="auto"/>
      </w:pPr>
      <w:r>
        <w:rPr>
          <w:rStyle w:val="9"/>
          <w:rFonts w:hint="eastAsia" w:ascii="方正楷体_GBK" w:hAnsi="方正楷体_GBK" w:eastAsia="方正楷体_GBK" w:cs="方正楷体_GBK"/>
          <w:sz w:val="32"/>
          <w:szCs w:val="32"/>
        </w:rPr>
        <w:t xml:space="preserve"> 激活生态价值转化赋能绿色高质量发展。</w:t>
      </w:r>
      <w:r>
        <w:rPr>
          <w:rFonts w:hint="eastAsia" w:ascii="Times New Roman" w:hAnsi="Times New Roman" w:eastAsia="方正仿宋_GBK" w:cs="Times New Roman"/>
          <w:kern w:val="2"/>
          <w:sz w:val="32"/>
          <w:szCs w:val="32"/>
          <w:lang w:bidi="ar-SA"/>
        </w:rPr>
        <w:t>立足耕地空间、林地空间资源禀赋，严守耕地保护、生态保护刚性底线，依托全省耕林资源本底，充分挖掘和提升自然资源资产价值，打通资源优势向经济优势转化通道，促进自然资源资产保值增值。立足淮北平原优质耕地资源，在保障粮食安全前提下，支持高标准农田配套发展优质粮食、特色农产品规模化经营，培育绿色农产品品牌，释放耕地综合产出效益。发挥皖西、皖南山林资源优势，有序发展林下种植养殖、森林康养、生态旅游、木本油料等绿色产业，因地制宜打造林下经济示范基地，推动林业生态产品产业化开发。探索耕林生态产品价值</w:t>
      </w:r>
      <w:r>
        <w:rPr>
          <w:rFonts w:hint="eastAsia" w:ascii="Times New Roman" w:hAnsi="Times New Roman" w:eastAsia="方正仿宋_GBK" w:cs="Times New Roman"/>
          <w:kern w:val="2"/>
          <w:sz w:val="32"/>
          <w:szCs w:val="32"/>
          <w:lang w:val="en-US" w:eastAsia="zh-CN" w:bidi="ar-SA"/>
        </w:rPr>
        <w:t>实现</w:t>
      </w:r>
      <w:r>
        <w:rPr>
          <w:rFonts w:hint="eastAsia" w:ascii="Times New Roman" w:hAnsi="Times New Roman" w:eastAsia="方正仿宋_GBK" w:cs="Times New Roman"/>
          <w:kern w:val="2"/>
          <w:sz w:val="32"/>
          <w:szCs w:val="32"/>
          <w:lang w:bidi="ar-SA"/>
        </w:rPr>
        <w:t>机制，完善生态保护补偿联动衔接，统筹耕地保护补偿、公益林补偿政策，鼓励地方开展生态产品价值实现试点示范。通过耕林资源和生态价值转化，实现粮食安全、生态保护与富民增收协同共进，把江淮粮仓、长三角生态屏障资源禀赋转化为全省高质量发展内生动力。</w:t>
      </w:r>
    </w:p>
    <w:p w14:paraId="451729D4">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ascii="Times New Roman" w:hAnsi="Times New Roman" w:eastAsia="方正仿宋_GBK"/>
          <w:sz w:val="32"/>
          <w:szCs w:val="32"/>
        </w:rPr>
      </w:pPr>
      <w:r>
        <w:rPr>
          <w:rStyle w:val="9"/>
          <w:rFonts w:hint="eastAsia" w:ascii="方正楷体_GBK" w:hAnsi="方正楷体_GBK" w:eastAsia="方正楷体_GBK" w:cs="方正楷体_GBK"/>
          <w:kern w:val="0"/>
          <w:sz w:val="32"/>
          <w:szCs w:val="32"/>
          <w:lang w:bidi="ar"/>
        </w:rPr>
        <w:t>深化共治宣传引导凝聚耕林保护合力</w:t>
      </w:r>
      <w:r>
        <w:rPr>
          <w:rStyle w:val="9"/>
          <w:rFonts w:hint="eastAsia" w:ascii="方正楷体_GBK" w:hAnsi="方正楷体_GBK" w:eastAsia="方正楷体_GBK" w:cs="方正楷体_GBK"/>
          <w:kern w:val="0"/>
          <w:sz w:val="32"/>
          <w:szCs w:val="32"/>
          <w:lang w:eastAsia="zh-CN" w:bidi="ar"/>
        </w:rPr>
        <w:t>。</w:t>
      </w:r>
      <w:r>
        <w:rPr>
          <w:rFonts w:hint="default" w:ascii="Times New Roman" w:hAnsi="Times New Roman" w:eastAsia="方正仿宋_GBK" w:cs="Times New Roman"/>
          <w:kern w:val="2"/>
          <w:sz w:val="32"/>
          <w:szCs w:val="32"/>
          <w:lang w:val="en-US" w:eastAsia="zh-CN" w:bidi="ar"/>
        </w:rPr>
        <w:t>充分</w:t>
      </w:r>
      <w:r>
        <w:rPr>
          <w:rFonts w:ascii="Times New Roman" w:hAnsi="Times New Roman" w:eastAsia="方正仿宋_GBK" w:cs="Times New Roman"/>
          <w:sz w:val="32"/>
          <w:szCs w:val="32"/>
          <w:highlight w:val="none"/>
        </w:rPr>
        <w:t>尊重群众意愿，健全补偿激励，保障群众合法权益。</w:t>
      </w:r>
      <w:r>
        <w:rPr>
          <w:rFonts w:ascii="Times New Roman" w:hAnsi="Times New Roman" w:eastAsia="方正仿宋_GBK" w:cs="Times New Roman"/>
          <w:sz w:val="32"/>
          <w:szCs w:val="32"/>
        </w:rPr>
        <w:t>构建全社会共同参与的耕林保护格局。挖掘活化安丰塘灌溉工程、</w:t>
      </w:r>
      <w:r>
        <w:rPr>
          <w:rFonts w:hint="eastAsia" w:ascii="Times New Roman" w:hAnsi="Times New Roman" w:eastAsia="方正仿宋_GBK"/>
          <w:sz w:val="32"/>
          <w:szCs w:val="32"/>
        </w:rPr>
        <w:t>肥西小井庄、凤阳</w:t>
      </w:r>
      <w:r>
        <w:rPr>
          <w:rFonts w:ascii="Times New Roman" w:hAnsi="Times New Roman" w:eastAsia="方正仿宋_GBK"/>
          <w:sz w:val="32"/>
          <w:szCs w:val="32"/>
        </w:rPr>
        <w:t>小岗村改革实践</w:t>
      </w:r>
      <w:r>
        <w:rPr>
          <w:rFonts w:hint="eastAsia" w:ascii="Times New Roman" w:hAnsi="Times New Roman" w:eastAsia="方正仿宋_GBK"/>
          <w:sz w:val="32"/>
          <w:szCs w:val="32"/>
        </w:rPr>
        <w:t>等</w:t>
      </w:r>
      <w:r>
        <w:rPr>
          <w:rFonts w:ascii="Times New Roman" w:hAnsi="Times New Roman" w:eastAsia="方正仿宋_GBK"/>
          <w:sz w:val="32"/>
          <w:szCs w:val="32"/>
        </w:rPr>
        <w:t>本土农耕文明资源，将农耕文化传承与耕地林地保护科普宣传有机结合。多渠道开展政策解读，普及耕林保护法律法规，提升群众保护意识，调动集体、农户主动参与耕地保护、国土绿化的积极性，营造全社会共同守护粮食安全与生态安全的良好氛围。面向基层干部开展政策业务培训，提升市县乡镇一线人员耕林统筹治理业务能力。</w:t>
      </w:r>
    </w:p>
    <w:p w14:paraId="6F9A9EEC">
      <w:pPr>
        <w:keepNext w:val="0"/>
        <w:keepLines w:val="0"/>
        <w:pageBreakBefore w:val="0"/>
        <w:kinsoku/>
        <w:wordWrap/>
        <w:overflowPunct/>
        <w:topLinePunct w:val="0"/>
        <w:autoSpaceDE/>
        <w:autoSpaceDN/>
        <w:bidi w:val="0"/>
        <w:adjustRightInd/>
        <w:snapToGrid/>
        <w:spacing w:line="560" w:lineRule="exact"/>
        <w:textAlignment w:val="auto"/>
        <w:rPr>
          <w:rFonts w:hint="default" w:eastAsia="黑体"/>
          <w:lang w:val="en-US" w:eastAsia="zh-CN"/>
        </w:rPr>
      </w:pP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203" w:usb1="288F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01EF5">
    <w:pPr>
      <w:pStyle w:val="4"/>
      <w:rPr>
        <w:rFonts w:hint="default"/>
        <w:lang w:val="en-US"/>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520EF04">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EREUCndAQAAvgMAAA4AAAAAAAAA&#10;AQAgAAAAHgEAAGRycy9lMm9Eb2MueG1sUEsFBgAAAAAGAAYAWQEAAG0FAAAAAA==&#10;">
              <v:fill on="f" focussize="0,0"/>
              <v:stroke on="f"/>
              <v:imagedata o:title=""/>
              <o:lock v:ext="edit" aspectratio="f"/>
              <v:textbox inset="0mm,0mm,0mm,0mm" style="mso-fit-shape-to-text:t;">
                <w:txbxContent>
                  <w:p w14:paraId="4520EF04">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307"/>
    <w:rsid w:val="000F2A4A"/>
    <w:rsid w:val="001D39D9"/>
    <w:rsid w:val="002B0680"/>
    <w:rsid w:val="003B0D2E"/>
    <w:rsid w:val="00630FF6"/>
    <w:rsid w:val="00727B57"/>
    <w:rsid w:val="007C4C94"/>
    <w:rsid w:val="007D743D"/>
    <w:rsid w:val="00A32608"/>
    <w:rsid w:val="00CE3F05"/>
    <w:rsid w:val="00D06307"/>
    <w:rsid w:val="00D55629"/>
    <w:rsid w:val="00DD242E"/>
    <w:rsid w:val="00F86D71"/>
    <w:rsid w:val="00FE7CE3"/>
    <w:rsid w:val="0837152C"/>
    <w:rsid w:val="0BBF0F6F"/>
    <w:rsid w:val="0DCE53FA"/>
    <w:rsid w:val="0E3335AB"/>
    <w:rsid w:val="0FF39B1E"/>
    <w:rsid w:val="104135F9"/>
    <w:rsid w:val="11474ABC"/>
    <w:rsid w:val="118D01B6"/>
    <w:rsid w:val="12EB0E27"/>
    <w:rsid w:val="1389212E"/>
    <w:rsid w:val="152817C5"/>
    <w:rsid w:val="1AFD3B48"/>
    <w:rsid w:val="1DB23A3C"/>
    <w:rsid w:val="2234789C"/>
    <w:rsid w:val="22BA7478"/>
    <w:rsid w:val="27FE38FB"/>
    <w:rsid w:val="2A51023B"/>
    <w:rsid w:val="2BDE63F7"/>
    <w:rsid w:val="2F5F768E"/>
    <w:rsid w:val="2FB66194"/>
    <w:rsid w:val="323D2377"/>
    <w:rsid w:val="35FF6626"/>
    <w:rsid w:val="365840FE"/>
    <w:rsid w:val="37B95EF8"/>
    <w:rsid w:val="3D824F9E"/>
    <w:rsid w:val="3DB8867C"/>
    <w:rsid w:val="3E2A1FE1"/>
    <w:rsid w:val="3FEF6775"/>
    <w:rsid w:val="3FFE3586"/>
    <w:rsid w:val="42BE1491"/>
    <w:rsid w:val="43350F21"/>
    <w:rsid w:val="4AEECCCA"/>
    <w:rsid w:val="4AF347C8"/>
    <w:rsid w:val="4C043151"/>
    <w:rsid w:val="4C35A9FF"/>
    <w:rsid w:val="4CA706F6"/>
    <w:rsid w:val="550D12C8"/>
    <w:rsid w:val="5BEE2A49"/>
    <w:rsid w:val="5DE213A7"/>
    <w:rsid w:val="5DEA6647"/>
    <w:rsid w:val="5EBFD17F"/>
    <w:rsid w:val="5ED110F5"/>
    <w:rsid w:val="5FB84843"/>
    <w:rsid w:val="5FBF4635"/>
    <w:rsid w:val="5FFA2B52"/>
    <w:rsid w:val="64352D03"/>
    <w:rsid w:val="64377867"/>
    <w:rsid w:val="6A1F4626"/>
    <w:rsid w:val="6B605D12"/>
    <w:rsid w:val="6BDFAEA2"/>
    <w:rsid w:val="6D5A4776"/>
    <w:rsid w:val="6DFB6837"/>
    <w:rsid w:val="6E944E12"/>
    <w:rsid w:val="6EBF9F14"/>
    <w:rsid w:val="72B71504"/>
    <w:rsid w:val="737FB5E8"/>
    <w:rsid w:val="763C5714"/>
    <w:rsid w:val="77FF5751"/>
    <w:rsid w:val="799B65F3"/>
    <w:rsid w:val="7BDF4636"/>
    <w:rsid w:val="7C6FB5B6"/>
    <w:rsid w:val="7CF77FE5"/>
    <w:rsid w:val="7DD751D9"/>
    <w:rsid w:val="7E3ED272"/>
    <w:rsid w:val="7F57E29C"/>
    <w:rsid w:val="7F72EDC3"/>
    <w:rsid w:val="7F7FEAC0"/>
    <w:rsid w:val="7FDD2311"/>
    <w:rsid w:val="7FFB0E0A"/>
    <w:rsid w:val="A75350C3"/>
    <w:rsid w:val="ABFD4190"/>
    <w:rsid w:val="AEDDF9DE"/>
    <w:rsid w:val="AFB79229"/>
    <w:rsid w:val="BF9E0555"/>
    <w:rsid w:val="DBFD3C5F"/>
    <w:rsid w:val="DBFF4464"/>
    <w:rsid w:val="E1FFFA80"/>
    <w:rsid w:val="EB3BCCE1"/>
    <w:rsid w:val="ECF37001"/>
    <w:rsid w:val="EFFE3FD0"/>
    <w:rsid w:val="EFFE6C20"/>
    <w:rsid w:val="F2FE9108"/>
    <w:rsid w:val="F353B4D3"/>
    <w:rsid w:val="FBFFA4BE"/>
    <w:rsid w:val="FDED9D6D"/>
    <w:rsid w:val="FEBC46A0"/>
    <w:rsid w:val="FF5FF7D8"/>
    <w:rsid w:val="FFECEF80"/>
    <w:rsid w:val="FFFF74D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Style w:val="7"/>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Balloon Text"/>
    <w:basedOn w:val="1"/>
    <w:link w:val="11"/>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pPr>
      <w:spacing w:before="100" w:beforeAutospacing="1" w:after="100" w:afterAutospacing="1"/>
      <w:ind w:left="0" w:right="0"/>
      <w:jc w:val="left"/>
    </w:pPr>
    <w:rPr>
      <w:kern w:val="0"/>
      <w:sz w:val="24"/>
      <w:lang w:val="en-US" w:eastAsia="zh-CN" w:bidi="ar"/>
    </w:rPr>
  </w:style>
  <w:style w:type="character" w:styleId="9">
    <w:name w:val="Strong"/>
    <w:qFormat/>
    <w:uiPriority w:val="0"/>
    <w:rPr>
      <w:b/>
    </w:rPr>
  </w:style>
  <w:style w:type="character" w:styleId="10">
    <w:name w:val="Emphasis"/>
    <w:qFormat/>
    <w:uiPriority w:val="0"/>
    <w:rPr>
      <w:i/>
    </w:rPr>
  </w:style>
  <w:style w:type="character" w:customStyle="1" w:styleId="11">
    <w:name w:val="批注框文本 字符"/>
    <w:link w:val="3"/>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2046</Words>
  <Characters>2125</Characters>
  <Lines>71</Lines>
  <Paragraphs>20</Paragraphs>
  <TotalTime>3</TotalTime>
  <ScaleCrop>false</ScaleCrop>
  <LinksUpToDate>false</LinksUpToDate>
  <CharactersWithSpaces>2131</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2026-10-17T00:46:00Z</dcterms:created>
  <dc:creator>67557</dc:creator>
  <cp:lastModifiedBy>彭磊</cp:lastModifiedBy>
  <cp:lastPrinted>2026-10-10T03:04:00Z</cp:lastPrinted>
  <dcterms:modified xsi:type="dcterms:W3CDTF">2026-10-21T16:06:42Z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KSOTemplateDocerSaveRecord">
    <vt:lpwstr>eyJoZGlkIjoiN2EyM2JmZjA3ZmI5NGU4NzU3YWQ5YWI4ODA2ZmY3MDIiLCJ1c2VySWQiOiIzNTg1MDgyOTcifQ==</vt:lpwstr>
  </property>
  <property fmtid="{D5CDD505-2E9C-101B-9397-08002B2CF9AE}" pid="4" name="ICV">
    <vt:lpwstr>47D267F2878918779272D86A5CA40922_43</vt:lpwstr>
  </property>
</Properties>
</file>